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7C6BAE" w:rsidP="007C6BAE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Dış İlişkiler</w:t>
            </w:r>
            <w:r w:rsidR="00C66DEE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DB5C63">
              <w:rPr>
                <w:rFonts w:ascii="Arial" w:hAnsi="Arial" w:cs="Arial"/>
                <w:sz w:val="24"/>
              </w:rPr>
              <w:t>2</w:t>
            </w:r>
            <w:r w:rsidR="00BB60BA">
              <w:rPr>
                <w:rFonts w:ascii="Arial" w:hAnsi="Arial" w:cs="Arial"/>
                <w:sz w:val="24"/>
              </w:rPr>
              <w:t>5</w:t>
            </w:r>
            <w:r w:rsidR="00DB5C63"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66981554</w:t>
            </w:r>
            <w:proofErr w:type="gramEnd"/>
            <w:r>
              <w:rPr>
                <w:rFonts w:ascii="Arial" w:hAnsi="Arial" w:cs="Arial"/>
                <w:sz w:val="24"/>
              </w:rPr>
              <w:t>-105.03-153035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D5BA4" w:rsidRDefault="00ED5BA4" w:rsidP="007C6BA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6BAE" w:rsidRDefault="007C6BAE" w:rsidP="007C6BA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BAE">
              <w:rPr>
                <w:rFonts w:ascii="Arial" w:hAnsi="Arial" w:cs="Arial"/>
                <w:sz w:val="24"/>
                <w:szCs w:val="24"/>
              </w:rPr>
              <w:t xml:space="preserve">Dünyada değişen </w:t>
            </w:r>
            <w:proofErr w:type="gramStart"/>
            <w:r w:rsidRPr="007C6BAE">
              <w:rPr>
                <w:rFonts w:ascii="Arial" w:hAnsi="Arial" w:cs="Arial"/>
                <w:sz w:val="24"/>
                <w:szCs w:val="24"/>
              </w:rPr>
              <w:t>konjonktür</w:t>
            </w:r>
            <w:proofErr w:type="gramEnd"/>
            <w:r w:rsidRPr="007C6BAE">
              <w:rPr>
                <w:rFonts w:ascii="Arial" w:hAnsi="Arial" w:cs="Arial"/>
                <w:sz w:val="24"/>
                <w:szCs w:val="24"/>
              </w:rPr>
              <w:t xml:space="preserve"> ve vatandaşların yerel yönetimlerden beklentileri göz önüne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 xml:space="preserve">alındığında yönetim süreçlerinde </w:t>
            </w:r>
            <w:proofErr w:type="spellStart"/>
            <w:r w:rsidRPr="007C6BAE">
              <w:rPr>
                <w:rFonts w:ascii="Arial" w:hAnsi="Arial" w:cs="Arial"/>
                <w:sz w:val="24"/>
                <w:szCs w:val="24"/>
              </w:rPr>
              <w:t>inovatif</w:t>
            </w:r>
            <w:proofErr w:type="spellEnd"/>
            <w:r w:rsidRPr="007C6BAE">
              <w:rPr>
                <w:rFonts w:ascii="Arial" w:hAnsi="Arial" w:cs="Arial"/>
                <w:sz w:val="24"/>
                <w:szCs w:val="24"/>
              </w:rPr>
              <w:t xml:space="preserve"> yaklaşımlar geliştirme zaruri bir hal almıştır. Bu kapsamda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Yenişehir Belediyesi veriye/kanıta dayalı yönetim anlayışı ile alınan kararların izlenimler ya da sezgiler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 xml:space="preserve">yerine bilgiye dayalı olmasını </w:t>
            </w:r>
            <w:proofErr w:type="spellStart"/>
            <w:r w:rsidRPr="007C6BAE">
              <w:rPr>
                <w:rFonts w:ascii="Arial" w:hAnsi="Arial" w:cs="Arial"/>
                <w:sz w:val="24"/>
                <w:szCs w:val="24"/>
              </w:rPr>
              <w:t>önceliklendirmiştir</w:t>
            </w:r>
            <w:proofErr w:type="spellEnd"/>
            <w:r w:rsidRPr="007C6BAE">
              <w:rPr>
                <w:rFonts w:ascii="Arial" w:hAnsi="Arial" w:cs="Arial"/>
                <w:sz w:val="24"/>
                <w:szCs w:val="24"/>
              </w:rPr>
              <w:t xml:space="preserve">. Belediyemiz yürüttüğü </w:t>
            </w:r>
            <w:proofErr w:type="spellStart"/>
            <w:r w:rsidRPr="007C6BAE">
              <w:rPr>
                <w:rFonts w:ascii="Arial" w:hAnsi="Arial" w:cs="Arial"/>
                <w:sz w:val="24"/>
                <w:szCs w:val="24"/>
              </w:rPr>
              <w:t>vizyoner</w:t>
            </w:r>
            <w:proofErr w:type="spellEnd"/>
            <w:r w:rsidRPr="007C6BAE">
              <w:rPr>
                <w:rFonts w:ascii="Arial" w:hAnsi="Arial" w:cs="Arial"/>
                <w:sz w:val="24"/>
                <w:szCs w:val="24"/>
              </w:rPr>
              <w:t xml:space="preserve"> çalışmalarında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ihtiyaçları tanımlamak, öncelikleri belirlemek, daha yetkin stratejiler geliştirmek, bilinçli kararlar almak,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hedefleri ortaya koymak, daha önce uygulanan stratejilerin etkinliğini ölçmek, müdahaleleri ve süreci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değerlendirmek, vb. nedenlerle verileri karar alma aracı olarak kullanılmaktadır. Veri birçok farklı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kaynaktan elde edilebilmektedir. Bu verinin kullanımında dikkate alınması gereken çeşitli faktörler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vardır. Örneğin verinin elde ediliş biçimi, verinin güvenilirliği ve geçerliliği verinin kullanılmasını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 xml:space="preserve">imkânsız hale getirebilmektedir. Bu bağlamda verinin elde edilme süreçleri çeşitli </w:t>
            </w:r>
            <w:proofErr w:type="gramStart"/>
            <w:r w:rsidRPr="007C6BAE">
              <w:rPr>
                <w:rFonts w:ascii="Arial" w:hAnsi="Arial" w:cs="Arial"/>
                <w:sz w:val="24"/>
                <w:szCs w:val="24"/>
              </w:rPr>
              <w:t>kriterlere</w:t>
            </w:r>
            <w:proofErr w:type="gramEnd"/>
            <w:r w:rsidRPr="007C6BAE">
              <w:rPr>
                <w:rFonts w:ascii="Arial" w:hAnsi="Arial" w:cs="Arial"/>
                <w:sz w:val="24"/>
                <w:szCs w:val="24"/>
              </w:rPr>
              <w:t xml:space="preserve"> bağlanmış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olan etik kuralların işlediği akademik araştırmalar veri elde etmenin en güvenli yollarından birdir.</w:t>
            </w:r>
          </w:p>
          <w:p w:rsidR="007C6BAE" w:rsidRPr="007C6BAE" w:rsidRDefault="007C6BAE" w:rsidP="007C6BA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6BAE" w:rsidRDefault="007C6BAE" w:rsidP="007C6BA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BAE">
              <w:rPr>
                <w:rFonts w:ascii="Arial" w:hAnsi="Arial" w:cs="Arial"/>
                <w:sz w:val="24"/>
                <w:szCs w:val="24"/>
              </w:rPr>
              <w:t>Belediyemiz birimleri tarafından yürütülen birçok çalışma akademik boyutta araştırmaların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yapılmasına ihtiyaç duymaktadır. Bu akademik çalışmalar sonunda üretilecek veriler ve ortaya çıkacak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akademik ürünler (yüksek lisans tezi, doktora tezi, makale, bildiri, kitap vb.) belediyemiz tarafından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kullanılabilecektir. Bu bağlamda Belediyemiz öncelikli ihtiyaçları dikkate alınarak ilan edilecek konulara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yönelik yürütülecek akademik araştırmaların desteklenmesi için “Yenişehir Belediyesi Araştırma Destek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Programı” başlatılması planlanmaktadır.</w:t>
            </w:r>
          </w:p>
          <w:p w:rsidR="007C6BAE" w:rsidRDefault="007C6BAE" w:rsidP="007C6BA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27CF" w:rsidRDefault="007C6BAE" w:rsidP="001927C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BA4">
              <w:rPr>
                <w:rFonts w:ascii="Arial" w:hAnsi="Arial" w:cs="Arial"/>
                <w:sz w:val="24"/>
                <w:szCs w:val="24"/>
              </w:rPr>
              <w:t xml:space="preserve">Bu nedenle: </w:t>
            </w:r>
            <w:r w:rsidRPr="007C6BAE">
              <w:rPr>
                <w:rFonts w:ascii="Arial" w:hAnsi="Arial" w:cs="Arial"/>
                <w:sz w:val="24"/>
                <w:szCs w:val="24"/>
              </w:rPr>
              <w:t>Yenişehir Belediyesi Araştırma Destek Programının başlatılması ve uygulanması ile ilgili iş 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BAE">
              <w:rPr>
                <w:rFonts w:ascii="Arial" w:hAnsi="Arial" w:cs="Arial"/>
                <w:sz w:val="24"/>
                <w:szCs w:val="24"/>
              </w:rPr>
              <w:t>işlemleri yürütmek</w:t>
            </w:r>
            <w:r w:rsidR="00ED5BA4">
              <w:rPr>
                <w:rFonts w:ascii="Arial" w:hAnsi="Arial" w:cs="Arial"/>
                <w:sz w:val="24"/>
                <w:szCs w:val="24"/>
              </w:rPr>
              <w:t>,</w:t>
            </w:r>
            <w:r w:rsidRPr="007C6BAE">
              <w:rPr>
                <w:rFonts w:ascii="Arial" w:hAnsi="Arial" w:cs="Arial"/>
                <w:sz w:val="24"/>
                <w:szCs w:val="24"/>
              </w:rPr>
              <w:t xml:space="preserve"> ilgili taraflarla sözleşme ve protokol imzalamak üzere </w:t>
            </w:r>
            <w:r w:rsidR="001927CF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Başkanı Abdullah </w:t>
            </w:r>
            <w:proofErr w:type="spellStart"/>
            <w:r w:rsidR="001927CF">
              <w:rPr>
                <w:rFonts w:ascii="Arial" w:hAnsi="Arial" w:cs="Arial"/>
                <w:color w:val="000000"/>
                <w:sz w:val="24"/>
                <w:szCs w:val="24"/>
              </w:rPr>
              <w:t>ÖZYİĞİT’in</w:t>
            </w:r>
            <w:proofErr w:type="spellEnd"/>
            <w:r w:rsidR="001927CF">
              <w:rPr>
                <w:rFonts w:ascii="Arial" w:hAnsi="Arial" w:cs="Arial"/>
                <w:color w:val="000000"/>
                <w:sz w:val="24"/>
                <w:szCs w:val="24"/>
              </w:rPr>
              <w:t xml:space="preserve"> yetkili kılınmasının kabulüne oy birliği ile karar verildi. </w:t>
            </w:r>
          </w:p>
          <w:p w:rsidR="00ED5BA4" w:rsidRDefault="00ED5BA4" w:rsidP="00ED5BA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7C6BAE" w:rsidP="00ED5BA4">
            <w:pPr>
              <w:ind w:firstLine="601"/>
              <w:jc w:val="both"/>
              <w:rPr>
                <w:sz w:val="24"/>
              </w:rPr>
            </w:pPr>
            <w:r w:rsidRPr="007C6B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ED5BA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68" w:rsidRDefault="00C86868">
      <w:r>
        <w:separator/>
      </w:r>
    </w:p>
  </w:endnote>
  <w:endnote w:type="continuationSeparator" w:id="0">
    <w:p w:rsidR="00C86868" w:rsidRDefault="00C8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68" w:rsidRDefault="00C86868">
      <w:r>
        <w:separator/>
      </w:r>
    </w:p>
  </w:footnote>
  <w:footnote w:type="continuationSeparator" w:id="0">
    <w:p w:rsidR="00C86868" w:rsidRDefault="00C8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F2614" w:rsidP="00325B7E">
          <w:pPr>
            <w:pStyle w:val="Balk2"/>
            <w:jc w:val="left"/>
          </w:pPr>
          <w:r>
            <w:t>5</w:t>
          </w:r>
          <w:r w:rsidR="00325B7E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037A"/>
    <w:rsid w:val="00042211"/>
    <w:rsid w:val="000462FD"/>
    <w:rsid w:val="00052C28"/>
    <w:rsid w:val="00053D54"/>
    <w:rsid w:val="00072343"/>
    <w:rsid w:val="00073814"/>
    <w:rsid w:val="00074900"/>
    <w:rsid w:val="0007793E"/>
    <w:rsid w:val="000812BF"/>
    <w:rsid w:val="000A3618"/>
    <w:rsid w:val="000A704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27CF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014A"/>
    <w:rsid w:val="0027560D"/>
    <w:rsid w:val="002A0DE9"/>
    <w:rsid w:val="002B284A"/>
    <w:rsid w:val="002B497F"/>
    <w:rsid w:val="002B701F"/>
    <w:rsid w:val="002D0121"/>
    <w:rsid w:val="002D6BE9"/>
    <w:rsid w:val="002F3A7C"/>
    <w:rsid w:val="002F413C"/>
    <w:rsid w:val="003038B7"/>
    <w:rsid w:val="00325B7E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32C9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21434"/>
    <w:rsid w:val="006227CD"/>
    <w:rsid w:val="0063020E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04BB"/>
    <w:rsid w:val="006C10BB"/>
    <w:rsid w:val="006D7911"/>
    <w:rsid w:val="006D7FB0"/>
    <w:rsid w:val="006F20CA"/>
    <w:rsid w:val="006F6780"/>
    <w:rsid w:val="0070469E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2262"/>
    <w:rsid w:val="007A4006"/>
    <w:rsid w:val="007A4DE4"/>
    <w:rsid w:val="007B05D7"/>
    <w:rsid w:val="007B3173"/>
    <w:rsid w:val="007C16CF"/>
    <w:rsid w:val="007C6BAE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075F4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324C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2F33"/>
    <w:rsid w:val="00C231F9"/>
    <w:rsid w:val="00C23665"/>
    <w:rsid w:val="00C36E8E"/>
    <w:rsid w:val="00C55CDD"/>
    <w:rsid w:val="00C5620E"/>
    <w:rsid w:val="00C62C09"/>
    <w:rsid w:val="00C63614"/>
    <w:rsid w:val="00C63B2B"/>
    <w:rsid w:val="00C66DEE"/>
    <w:rsid w:val="00C700BF"/>
    <w:rsid w:val="00C70D0D"/>
    <w:rsid w:val="00C7432D"/>
    <w:rsid w:val="00C777B9"/>
    <w:rsid w:val="00C86868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E6245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9178A"/>
    <w:rsid w:val="00EB436D"/>
    <w:rsid w:val="00ED5BA4"/>
    <w:rsid w:val="00EE490F"/>
    <w:rsid w:val="00EE6150"/>
    <w:rsid w:val="00EF0C9C"/>
    <w:rsid w:val="00EF1ECD"/>
    <w:rsid w:val="00EF2614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684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220</cp:revision>
  <cp:lastPrinted>2025-01-07T11:30:00Z</cp:lastPrinted>
  <dcterms:created xsi:type="dcterms:W3CDTF">2024-08-27T08:27:00Z</dcterms:created>
  <dcterms:modified xsi:type="dcterms:W3CDTF">2025-03-04T07:22:00Z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