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A35BB8">
        <w:rPr>
          <w:sz w:val="22"/>
          <w:szCs w:val="22"/>
        </w:rPr>
        <w:t>03.02.2025</w:t>
      </w:r>
      <w:r>
        <w:rPr>
          <w:sz w:val="22"/>
          <w:szCs w:val="22"/>
        </w:rPr>
        <w:t xml:space="preserve"> Pazartesi 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A35BB8" w:rsidRDefault="00A35BB8" w:rsidP="00A35BB8">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Pr>
          <w:rFonts w:ascii="Arial" w:hAnsi="Arial" w:cs="Arial"/>
          <w:sz w:val="22"/>
          <w:szCs w:val="22"/>
        </w:rPr>
        <w:t>Yoklama ve açılış</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proofErr w:type="gramStart"/>
      <w:r>
        <w:rPr>
          <w:rFonts w:ascii="Arial" w:hAnsi="Arial" w:cs="Arial"/>
          <w:sz w:val="22"/>
          <w:szCs w:val="22"/>
        </w:rPr>
        <w:t>Bir önceki birleşim tutanak özetinin okunması.</w:t>
      </w:r>
      <w:proofErr w:type="gramEnd"/>
    </w:p>
    <w:p w:rsidR="00A35BB8" w:rsidRDefault="00A35BB8" w:rsidP="00A35BB8">
      <w:pPr>
        <w:pStyle w:val="ListeParagraf"/>
        <w:numPr>
          <w:ilvl w:val="0"/>
          <w:numId w:val="2"/>
        </w:numPr>
        <w:tabs>
          <w:tab w:val="left" w:pos="709"/>
          <w:tab w:val="left" w:pos="3696"/>
          <w:tab w:val="left" w:pos="9498"/>
        </w:tabs>
        <w:spacing w:before="120" w:beforeAutospacing="0" w:after="120" w:afterAutospacing="0"/>
        <w:ind w:left="567" w:hanging="425"/>
        <w:jc w:val="both"/>
        <w:rPr>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boş kadro değişikliği cetveli (II Sayılı Cetvel)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7535 Sayılı 2025 yılı Merkezi Yönetim Bütçe Kanununa göre oluşturulan T Cetvelinin güncellenmesi ile ilgili teklifin görüşülmesi. </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Belediyemiz sınırları içerisinde bulunan mülkiyeti Belediyemize ait </w:t>
      </w:r>
      <w:proofErr w:type="spellStart"/>
      <w:r>
        <w:rPr>
          <w:rFonts w:ascii="Arial" w:hAnsi="Arial" w:cs="Arial"/>
          <w:sz w:val="22"/>
          <w:szCs w:val="22"/>
        </w:rPr>
        <w:t>Eğriçam</w:t>
      </w:r>
      <w:proofErr w:type="spellEnd"/>
      <w:r>
        <w:rPr>
          <w:rFonts w:ascii="Arial" w:hAnsi="Arial" w:cs="Arial"/>
          <w:sz w:val="22"/>
          <w:szCs w:val="22"/>
        </w:rPr>
        <w:t xml:space="preserve"> Futbol Sahasının isminin Hacı Bayram BİRİNCİ olarak değiştirilmesi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Yenişehir Belediyesi ile Habitat Derneği ve TMMOB Çevre Mühendisleri Odası Mersin Şubeleri arasında “İş Birliği Protokolü” imzalanması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Menteş</w:t>
      </w:r>
      <w:proofErr w:type="spellEnd"/>
      <w:r>
        <w:rPr>
          <w:rFonts w:ascii="Arial" w:hAnsi="Arial" w:cs="Arial"/>
          <w:sz w:val="22"/>
          <w:szCs w:val="22"/>
        </w:rPr>
        <w:t xml:space="preserve"> Mahallesi 85 ada 1-2 parseller ve 87 ada 3 parsel (yeni 13075 ada 1 ve 2 parseller) ile ilgili Mersin 2. İdare Mahkemesi kararına istinaden 1/1000 Ölçekli Uygulama İmar Planı Değişikliği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Mersin 2. İdare Mahkemesi kararına istinaden </w:t>
      </w:r>
      <w:proofErr w:type="gramStart"/>
      <w:r>
        <w:rPr>
          <w:rFonts w:ascii="Arial" w:hAnsi="Arial" w:cs="Arial"/>
          <w:sz w:val="22"/>
          <w:szCs w:val="22"/>
        </w:rPr>
        <w:t>331078783</w:t>
      </w:r>
      <w:proofErr w:type="gramEnd"/>
      <w:r>
        <w:rPr>
          <w:rFonts w:ascii="Arial" w:hAnsi="Arial" w:cs="Arial"/>
          <w:sz w:val="22"/>
          <w:szCs w:val="22"/>
        </w:rPr>
        <w:t xml:space="preserve"> Plan Teklif Numaralı 1/1000 Ölçekli Uygulama İmar Planı Değişikliği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Mersin 2. İdare Mahkemesi kararına istinaden </w:t>
      </w:r>
      <w:proofErr w:type="gramStart"/>
      <w:r>
        <w:rPr>
          <w:rFonts w:ascii="Arial" w:hAnsi="Arial" w:cs="Arial"/>
          <w:sz w:val="22"/>
          <w:szCs w:val="22"/>
        </w:rPr>
        <w:t>331078791</w:t>
      </w:r>
      <w:proofErr w:type="gramEnd"/>
      <w:r>
        <w:rPr>
          <w:rFonts w:ascii="Arial" w:hAnsi="Arial" w:cs="Arial"/>
          <w:sz w:val="22"/>
          <w:szCs w:val="22"/>
        </w:rPr>
        <w:t xml:space="preserve"> Plan Teklif Numaralı 1/1000 Ölçekli Uygulama İmar Planı Değişikliği ile ilgili teklifin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Yenişehir II. Etap 1/1000 Ölçekli Revizyon Uygulama İmar Planı Değişikliği ile ilgili teklifin görüşülmesi. </w:t>
      </w:r>
    </w:p>
    <w:p w:rsidR="00A35BB8" w:rsidRDefault="00A35BB8" w:rsidP="00A35BB8">
      <w:pPr>
        <w:numPr>
          <w:ilvl w:val="0"/>
          <w:numId w:val="2"/>
        </w:numPr>
        <w:tabs>
          <w:tab w:val="left" w:pos="567"/>
        </w:tabs>
        <w:ind w:left="567" w:hanging="425"/>
        <w:jc w:val="both"/>
        <w:rPr>
          <w:rFonts w:ascii="Arial" w:hAnsi="Arial" w:cs="Arial"/>
          <w:sz w:val="22"/>
          <w:szCs w:val="22"/>
        </w:rPr>
      </w:pPr>
      <w:r>
        <w:rPr>
          <w:rFonts w:ascii="Arial" w:hAnsi="Arial" w:cs="Arial"/>
          <w:sz w:val="22"/>
          <w:szCs w:val="22"/>
        </w:rPr>
        <w:t>Mersin İli Yenişehir İlçesi Emirler Mahallesi 159,160 ve 161 adalarına ilişkin 1/1000 ölçekli Uygulama İmar Planı Değişikliği teklifine ait İmar Komisyonu, Enerji ve Ekoloji Komisyonu ile Hukuk ve Temel Haklar Komisyonu ortak raporunun görüşülmesi.</w:t>
      </w:r>
    </w:p>
    <w:p w:rsidR="00A35BB8" w:rsidRDefault="00A35BB8" w:rsidP="00A35BB8">
      <w:pPr>
        <w:tabs>
          <w:tab w:val="left" w:pos="567"/>
        </w:tabs>
        <w:jc w:val="both"/>
        <w:rPr>
          <w:rFonts w:ascii="Arial" w:hAnsi="Arial" w:cs="Arial"/>
          <w:sz w:val="22"/>
          <w:szCs w:val="22"/>
        </w:rPr>
      </w:pPr>
    </w:p>
    <w:p w:rsidR="00A35BB8" w:rsidRDefault="00A35BB8" w:rsidP="00A35BB8">
      <w:pPr>
        <w:numPr>
          <w:ilvl w:val="0"/>
          <w:numId w:val="2"/>
        </w:numPr>
        <w:tabs>
          <w:tab w:val="left" w:pos="567"/>
        </w:tabs>
        <w:ind w:left="567" w:hanging="425"/>
        <w:jc w:val="both"/>
        <w:rPr>
          <w:rFonts w:ascii="Arial" w:hAnsi="Arial" w:cs="Arial"/>
          <w:sz w:val="22"/>
          <w:szCs w:val="22"/>
        </w:rPr>
      </w:pPr>
      <w:r>
        <w:rPr>
          <w:rFonts w:ascii="Arial" w:hAnsi="Arial" w:cs="Arial"/>
          <w:sz w:val="22"/>
          <w:szCs w:val="22"/>
        </w:rPr>
        <w:t>Belediyemiz sınırları içerisinde yapılacak olan inşaatların depreme karşı dayanaklılığını artırmak için Betonarme Projelerinde Uyulması Gereken Kurallar teklifi ile ilgili İmar Komisyonu, Enerji ve Ekoloji Komisyonu ile Proje Geliştirme ve Kentsel Dönüşüm Komisyonu ortak raporunun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Belediyemiz sınırları içerisinde faaliyet gösteren Amatör Spor Kulüplerine Belediyemiz tarafından nakdi destek verilmesi teklifine ait Plan ve Bütçe Komisyonu ile Eğitim Bilişim Gençlik ve Spor Komisyonu ortak raporunun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color w:val="FF0000"/>
          <w:sz w:val="22"/>
          <w:szCs w:val="22"/>
        </w:rPr>
      </w:pPr>
      <w:r>
        <w:rPr>
          <w:rFonts w:ascii="Arial" w:hAnsi="Arial" w:cs="Arial"/>
          <w:sz w:val="22"/>
          <w:szCs w:val="22"/>
        </w:rPr>
        <w:t>Belediyemiz bünyesinde bulunan Yenişehir Belediyesi Kemal KILIÇDAROĞLU Misafirhanesinde kalacak sporcuların ücretsiz konaklamaları teklifine ait Plan ve Bütçe Komisyonu, Eğitim Bilişim Gençlik ve Spor Komisyonu ile Tarife ve Yönetmelikler Komisyonu ortak raporunun görüşülmesi</w:t>
      </w:r>
      <w:r>
        <w:rPr>
          <w:rFonts w:ascii="Arial" w:hAnsi="Arial" w:cs="Arial"/>
          <w:color w:val="FF0000"/>
          <w:sz w:val="22"/>
          <w:szCs w:val="22"/>
        </w:rPr>
        <w:t>.</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Yenişehir Belediyesi Spor Kulübüne Belediyemiz tarafından nakdi destek verilmesi teklifine ait Plan ve Bütçe Komisyonu ile Eğitim Bilişim Gençlik ve Spor Komisyonu ortak raporunun görüşülmesi.</w:t>
      </w:r>
    </w:p>
    <w:p w:rsidR="00A35BB8" w:rsidRDefault="00A35BB8" w:rsidP="00A35BB8">
      <w:pPr>
        <w:spacing w:before="120" w:after="120"/>
        <w:jc w:val="both"/>
        <w:rPr>
          <w:rFonts w:ascii="Arial" w:hAnsi="Arial" w:cs="Arial"/>
          <w:sz w:val="22"/>
          <w:szCs w:val="22"/>
        </w:rPr>
      </w:pPr>
    </w:p>
    <w:p w:rsidR="00A35BB8" w:rsidRDefault="00A35BB8" w:rsidP="00A35BB8">
      <w:pPr>
        <w:spacing w:before="120" w:after="120"/>
        <w:jc w:val="both"/>
        <w:rPr>
          <w:rFonts w:ascii="Arial" w:hAnsi="Arial" w:cs="Arial"/>
          <w:sz w:val="22"/>
          <w:szCs w:val="22"/>
        </w:rPr>
      </w:pP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lastRenderedPageBreak/>
        <w:t>Yenişehir I. Etap 1/1000 Ölçekli Revizyon Uygulama İmar Planı Değişikliği teklifine ait İmar Komisyonu, Enerji ve Ekoloji Komisyonu ile Hukuk ve Temel Haklar Komisyonu ortak raporunun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Menteş</w:t>
      </w:r>
      <w:proofErr w:type="spellEnd"/>
      <w:r>
        <w:rPr>
          <w:rFonts w:ascii="Arial" w:hAnsi="Arial" w:cs="Arial"/>
          <w:sz w:val="22"/>
          <w:szCs w:val="22"/>
        </w:rPr>
        <w:t xml:space="preserve"> Mahallesi 11883 ada 2 </w:t>
      </w:r>
      <w:proofErr w:type="spellStart"/>
      <w:r>
        <w:rPr>
          <w:rFonts w:ascii="Arial" w:hAnsi="Arial" w:cs="Arial"/>
          <w:sz w:val="22"/>
          <w:szCs w:val="22"/>
        </w:rPr>
        <w:t>nolu</w:t>
      </w:r>
      <w:proofErr w:type="spellEnd"/>
      <w:r>
        <w:rPr>
          <w:rFonts w:ascii="Arial" w:hAnsi="Arial" w:cs="Arial"/>
          <w:sz w:val="22"/>
          <w:szCs w:val="22"/>
        </w:rPr>
        <w:t xml:space="preserve"> parselin 1/1000 Ölçekli Uygulama İmar Planı Değişikliği teklifine ait İmar Komisyonu, Enerji ve Ekoloji Komisyonu ile Hukuk ve Temel Haklar Komisyonu ortak raporunun görüşülmesi.</w:t>
      </w:r>
    </w:p>
    <w:p w:rsidR="00A35BB8" w:rsidRDefault="00A35BB8" w:rsidP="00A35BB8">
      <w:pPr>
        <w:pStyle w:val="ListeParagraf"/>
        <w:numPr>
          <w:ilvl w:val="0"/>
          <w:numId w:val="2"/>
        </w:numPr>
        <w:spacing w:before="120" w:beforeAutospacing="0" w:after="120" w:afterAutospacing="0"/>
        <w:ind w:left="567" w:hanging="425"/>
        <w:jc w:val="both"/>
        <w:rPr>
          <w:rFonts w:ascii="Arial" w:hAnsi="Arial" w:cs="Arial"/>
          <w:sz w:val="22"/>
          <w:szCs w:val="22"/>
        </w:rPr>
      </w:pPr>
      <w:r>
        <w:rPr>
          <w:rFonts w:ascii="Arial" w:hAnsi="Arial" w:cs="Arial"/>
          <w:sz w:val="22"/>
          <w:szCs w:val="22"/>
        </w:rPr>
        <w:t>İklim ve Sıfır Atık Müdürlüğünün “Görev, Yetki ve Sorumlulukları ile Çalışma Usul ve Esaslarına Dair Yönetmeliği”nin revize edilmesi ile ilgili teklife ait Enerji ve Ekoloji Komisyonu, Proje Geliştirme ve Kentsel Dönüşüm Komisyonu ile Tarife ve Yönetmelikler Komisyonu ortak raporunun görüşülmesi.</w:t>
      </w:r>
    </w:p>
    <w:p w:rsidR="00A35BB8" w:rsidRDefault="00A35BB8" w:rsidP="00A35BB8">
      <w:pPr>
        <w:pStyle w:val="ListeParagraf"/>
        <w:numPr>
          <w:ilvl w:val="0"/>
          <w:numId w:val="2"/>
        </w:numPr>
        <w:tabs>
          <w:tab w:val="left" w:pos="709"/>
          <w:tab w:val="left" w:pos="3696"/>
          <w:tab w:val="left" w:pos="9498"/>
        </w:tabs>
        <w:spacing w:before="120" w:beforeAutospacing="0" w:after="120" w:afterAutospacing="0" w:line="276" w:lineRule="auto"/>
        <w:ind w:left="567" w:hanging="425"/>
        <w:jc w:val="both"/>
        <w:rPr>
          <w:sz w:val="22"/>
          <w:szCs w:val="22"/>
        </w:rPr>
      </w:pPr>
      <w:r>
        <w:rPr>
          <w:rFonts w:ascii="Arial" w:hAnsi="Arial" w:cs="Arial"/>
          <w:sz w:val="22"/>
          <w:szCs w:val="22"/>
        </w:rPr>
        <w:t>Öneriler ve Temenniler.</w:t>
      </w:r>
    </w:p>
    <w:p w:rsidR="00A35BB8" w:rsidRDefault="00A35BB8" w:rsidP="00A35BB8">
      <w:pPr>
        <w:tabs>
          <w:tab w:val="left" w:pos="709"/>
          <w:tab w:val="left" w:pos="3696"/>
          <w:tab w:val="left" w:pos="9498"/>
        </w:tabs>
        <w:spacing w:before="120" w:after="120"/>
        <w:jc w:val="both"/>
        <w:rPr>
          <w:sz w:val="22"/>
          <w:szCs w:val="22"/>
        </w:rPr>
      </w:pPr>
    </w:p>
    <w:p w:rsidR="00A35BB8" w:rsidRDefault="00A35BB8" w:rsidP="00A35BB8">
      <w:pPr>
        <w:tabs>
          <w:tab w:val="left" w:pos="709"/>
          <w:tab w:val="left" w:pos="3696"/>
          <w:tab w:val="left" w:pos="9498"/>
        </w:tabs>
        <w:spacing w:before="120" w:after="120"/>
        <w:jc w:val="both"/>
        <w:rPr>
          <w:sz w:val="22"/>
          <w:szCs w:val="22"/>
        </w:rPr>
      </w:pPr>
    </w:p>
    <w:p w:rsidR="00A35BB8" w:rsidRDefault="00A35BB8" w:rsidP="00A35BB8">
      <w:pPr>
        <w:tabs>
          <w:tab w:val="left" w:pos="709"/>
          <w:tab w:val="left" w:pos="3696"/>
          <w:tab w:val="left" w:pos="9498"/>
        </w:tabs>
        <w:spacing w:before="120" w:after="120"/>
        <w:jc w:val="both"/>
        <w:rPr>
          <w:sz w:val="22"/>
          <w:szCs w:val="22"/>
        </w:rPr>
      </w:pPr>
    </w:p>
    <w:p w:rsidR="00A35BB8" w:rsidRDefault="00A35BB8" w:rsidP="00A35BB8">
      <w:pPr>
        <w:tabs>
          <w:tab w:val="left" w:pos="709"/>
          <w:tab w:val="left" w:pos="3696"/>
          <w:tab w:val="left" w:pos="9498"/>
        </w:tabs>
        <w:spacing w:before="120" w:after="120"/>
        <w:jc w:val="both"/>
        <w:rPr>
          <w:sz w:val="22"/>
          <w:szCs w:val="22"/>
        </w:rPr>
      </w:pPr>
    </w:p>
    <w:p w:rsidR="00A35BB8" w:rsidRDefault="00A35BB8" w:rsidP="00A35BB8">
      <w:pPr>
        <w:tabs>
          <w:tab w:val="left" w:pos="709"/>
          <w:tab w:val="left" w:pos="3696"/>
          <w:tab w:val="left" w:pos="9498"/>
        </w:tabs>
        <w:spacing w:before="120" w:after="120"/>
        <w:jc w:val="both"/>
        <w:rPr>
          <w:sz w:val="22"/>
          <w:szCs w:val="22"/>
        </w:rPr>
      </w:pPr>
    </w:p>
    <w:p w:rsidR="00A35BB8" w:rsidRDefault="00A35BB8" w:rsidP="00A35BB8">
      <w:pPr>
        <w:tabs>
          <w:tab w:val="left" w:pos="709"/>
          <w:tab w:val="left" w:pos="3696"/>
          <w:tab w:val="left" w:pos="9498"/>
        </w:tabs>
        <w:spacing w:before="120" w:after="120"/>
        <w:jc w:val="both"/>
        <w:rPr>
          <w:sz w:val="22"/>
          <w:szCs w:val="22"/>
        </w:rPr>
      </w:pPr>
    </w:p>
    <w:p w:rsidR="00A35BB8" w:rsidRDefault="00A35BB8" w:rsidP="00A35BB8">
      <w:pPr>
        <w:tabs>
          <w:tab w:val="left" w:pos="709"/>
          <w:tab w:val="left" w:pos="3696"/>
          <w:tab w:val="left" w:pos="9498"/>
        </w:tabs>
        <w:spacing w:before="120" w:after="120"/>
        <w:jc w:val="both"/>
        <w:rPr>
          <w:sz w:val="22"/>
          <w:szCs w:val="22"/>
        </w:rPr>
      </w:pPr>
    </w:p>
    <w:p w:rsidR="00F41A13" w:rsidRDefault="00F41A13" w:rsidP="00BE361D">
      <w:pPr>
        <w:pStyle w:val="GvdeMetniGirintisi"/>
        <w:tabs>
          <w:tab w:val="left" w:pos="3402"/>
        </w:tabs>
        <w:ind w:firstLine="0"/>
        <w:rPr>
          <w:rFonts w:cs="Arial"/>
          <w:b/>
          <w:sz w:val="22"/>
          <w:szCs w:val="22"/>
          <w:u w:val="single"/>
        </w:rPr>
      </w:pPr>
    </w:p>
    <w:sectPr w:rsidR="00F41A13"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267A3E"/>
    <w:rsid w:val="00480BD5"/>
    <w:rsid w:val="005A0257"/>
    <w:rsid w:val="00891232"/>
    <w:rsid w:val="00943038"/>
    <w:rsid w:val="00A35BB8"/>
    <w:rsid w:val="00BE361D"/>
    <w:rsid w:val="00CF544E"/>
    <w:rsid w:val="00D701DE"/>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GÜNDEMİ.dot</Template>
  <TotalTime>1</TotalTime>
  <Pages>1</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3</cp:revision>
  <dcterms:created xsi:type="dcterms:W3CDTF">2024-02-01T13:30:00Z</dcterms:created>
  <dcterms:modified xsi:type="dcterms:W3CDTF">2025-01-30T10:26:00Z</dcterms:modified>
</cp:coreProperties>
</file>