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C2" w:rsidRDefault="00F676C2"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D72A67">
        <w:rPr>
          <w:rFonts w:ascii="Arial" w:hAnsi="Arial" w:cs="Arial"/>
          <w:sz w:val="24"/>
          <w:szCs w:val="24"/>
        </w:rPr>
        <w:t>20</w:t>
      </w:r>
      <w:r w:rsidR="005C01E8">
        <w:rPr>
          <w:rFonts w:ascii="Arial" w:hAnsi="Arial" w:cs="Arial"/>
          <w:sz w:val="24"/>
          <w:szCs w:val="24"/>
        </w:rPr>
        <w:t>.</w:t>
      </w:r>
      <w:r w:rsidR="00694D81">
        <w:rPr>
          <w:rFonts w:ascii="Arial" w:hAnsi="Arial" w:cs="Arial"/>
          <w:sz w:val="24"/>
          <w:szCs w:val="24"/>
        </w:rPr>
        <w:t>10</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425BAE"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295A75">
        <w:rPr>
          <w:rFonts w:ascii="Arial" w:hAnsi="Arial" w:cs="Arial"/>
          <w:sz w:val="24"/>
          <w:szCs w:val="24"/>
        </w:rPr>
        <w:t>3</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w:t>
      </w:r>
      <w:r w:rsidR="00295A75">
        <w:rPr>
          <w:rFonts w:ascii="Arial" w:hAnsi="Arial" w:cs="Arial"/>
          <w:sz w:val="24"/>
          <w:szCs w:val="24"/>
        </w:rPr>
        <w:t>2</w:t>
      </w:r>
      <w:r w:rsidR="0075122F">
        <w:rPr>
          <w:rFonts w:ascii="Arial" w:hAnsi="Arial" w:cs="Arial"/>
          <w:sz w:val="24"/>
          <w:szCs w:val="24"/>
        </w:rPr>
        <w:t>.</w:t>
      </w:r>
      <w:r w:rsidR="00295A75">
        <w:rPr>
          <w:rFonts w:ascii="Arial" w:hAnsi="Arial" w:cs="Arial"/>
          <w:sz w:val="24"/>
          <w:szCs w:val="24"/>
        </w:rPr>
        <w:t>10</w:t>
      </w:r>
      <w:r w:rsidR="0075122F">
        <w:rPr>
          <w:rFonts w:ascii="Arial" w:hAnsi="Arial" w:cs="Arial"/>
          <w:sz w:val="24"/>
          <w:szCs w:val="24"/>
        </w:rPr>
        <w:t>.</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736F7">
        <w:rPr>
          <w:rFonts w:ascii="Arial" w:hAnsi="Arial" w:cs="Arial"/>
          <w:sz w:val="24"/>
          <w:szCs w:val="24"/>
        </w:rPr>
        <w:t>1</w:t>
      </w:r>
      <w:r w:rsidR="00295A75">
        <w:rPr>
          <w:rFonts w:ascii="Arial" w:hAnsi="Arial" w:cs="Arial"/>
          <w:sz w:val="24"/>
          <w:szCs w:val="24"/>
        </w:rPr>
        <w:t>4</w:t>
      </w:r>
      <w:r w:rsidR="00D72A67">
        <w:rPr>
          <w:rFonts w:ascii="Arial" w:hAnsi="Arial" w:cs="Arial"/>
          <w:sz w:val="24"/>
          <w:szCs w:val="24"/>
        </w:rPr>
        <w:t>1</w:t>
      </w:r>
    </w:p>
    <w:p w:rsidR="00F90C5E" w:rsidRDefault="00F90C5E" w:rsidP="00F90C5E">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Pr="00A338AC">
        <w:rPr>
          <w:rFonts w:ascii="Arial" w:hAnsi="Arial" w:cs="Arial"/>
        </w:rPr>
        <w:t>Plan ve Bütçe Komisyonu</w:t>
      </w:r>
      <w:r w:rsidR="00487FD5">
        <w:rPr>
          <w:rFonts w:ascii="Arial" w:hAnsi="Arial" w:cs="Arial"/>
        </w:rPr>
        <w:t xml:space="preserve">, Ekonomik Hayatın Geliştirilmesi </w:t>
      </w:r>
      <w:r w:rsidR="00487FD5">
        <w:rPr>
          <w:rFonts w:ascii="Arial" w:hAnsi="Arial" w:cs="Arial"/>
        </w:rPr>
        <w:tab/>
      </w:r>
      <w:r w:rsidR="00487FD5">
        <w:rPr>
          <w:rFonts w:ascii="Arial" w:hAnsi="Arial" w:cs="Arial"/>
        </w:rPr>
        <w:tab/>
        <w:t>Komisyonu</w:t>
      </w:r>
    </w:p>
    <w:p w:rsidR="00F90C5E" w:rsidRDefault="00F90C5E" w:rsidP="00F90C5E">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487FD5" w:rsidRDefault="00487FD5" w:rsidP="00F90C5E">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b/>
          <w:color w:val="000000" w:themeColor="text1"/>
          <w:sz w:val="24"/>
          <w:szCs w:val="24"/>
        </w:rPr>
        <w:t xml:space="preserve">Ekonomik Hayatın Geliştirilmesi Komisyonu: </w:t>
      </w:r>
      <w:r>
        <w:rPr>
          <w:color w:val="000000" w:themeColor="text1"/>
          <w:sz w:val="24"/>
          <w:szCs w:val="24"/>
        </w:rPr>
        <w:t>İzzet MİREŞ</w:t>
      </w:r>
      <w:r>
        <w:rPr>
          <w:color w:val="000000" w:themeColor="text1"/>
          <w:sz w:val="24"/>
          <w:szCs w:val="24"/>
        </w:rPr>
        <w:tab/>
      </w:r>
      <w:r>
        <w:rPr>
          <w:color w:val="000000" w:themeColor="text1"/>
          <w:sz w:val="24"/>
          <w:szCs w:val="24"/>
        </w:rPr>
        <w:tab/>
        <w:t xml:space="preserve">(Kom. Başk),Vahap DÜZOVA (Kom.Başk.V.)Mehmet </w:t>
      </w:r>
      <w:r>
        <w:rPr>
          <w:color w:val="000000" w:themeColor="text1"/>
          <w:sz w:val="24"/>
          <w:szCs w:val="24"/>
        </w:rPr>
        <w:tab/>
      </w:r>
      <w:r>
        <w:rPr>
          <w:color w:val="000000" w:themeColor="text1"/>
          <w:sz w:val="24"/>
          <w:szCs w:val="24"/>
        </w:rPr>
        <w:tab/>
      </w:r>
      <w:r>
        <w:rPr>
          <w:color w:val="000000" w:themeColor="text1"/>
          <w:sz w:val="24"/>
          <w:szCs w:val="24"/>
        </w:rPr>
        <w:tab/>
        <w:t>YEŞİL,Musa TAŞ, Mehmet Ali AYDENİZ</w:t>
      </w:r>
    </w:p>
    <w:p w:rsidR="0075122F" w:rsidRDefault="00143599" w:rsidP="007736F7">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487FD5">
        <w:rPr>
          <w:sz w:val="24"/>
          <w:szCs w:val="24"/>
        </w:rPr>
        <w:t>19</w:t>
      </w:r>
      <w:r w:rsidR="00F90C5E">
        <w:rPr>
          <w:sz w:val="24"/>
          <w:szCs w:val="24"/>
        </w:rPr>
        <w:t>.10</w:t>
      </w:r>
      <w:r w:rsidR="0075122F">
        <w:rPr>
          <w:sz w:val="24"/>
          <w:szCs w:val="24"/>
        </w:rPr>
        <w:t>.</w:t>
      </w:r>
      <w:r w:rsidRPr="00B0181B">
        <w:rPr>
          <w:sz w:val="24"/>
          <w:szCs w:val="24"/>
        </w:rPr>
        <w:t>202</w:t>
      </w:r>
      <w:r w:rsidR="00D5786E" w:rsidRPr="00B0181B">
        <w:rPr>
          <w:sz w:val="24"/>
          <w:szCs w:val="24"/>
        </w:rPr>
        <w:t>3</w:t>
      </w:r>
    </w:p>
    <w:p w:rsidR="00487FD5" w:rsidRPr="00487FD5" w:rsidRDefault="00143599" w:rsidP="00487FD5">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487FD5" w:rsidRPr="00487FD5">
        <w:rPr>
          <w:rFonts w:ascii="Arial" w:hAnsi="Arial" w:cs="Arial"/>
          <w:sz w:val="24"/>
          <w:szCs w:val="24"/>
        </w:rPr>
        <w:t>Belediyemiz 2024 Yılı Performans Programı, Belediye Meclisinin 02.10.2023 tarih ve 141 sayılı ara kararı ile Plan ve Bütçe Komisyonu ile Ekonomik Hayatın Geliştirilmesi Komisyonuna müştereken havale edilmiştir</w:t>
      </w:r>
      <w:r w:rsidR="00487FD5">
        <w:rPr>
          <w:rFonts w:ascii="Arial" w:hAnsi="Arial" w:cs="Arial"/>
          <w:sz w:val="24"/>
          <w:szCs w:val="24"/>
        </w:rPr>
        <w:t>.</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 xml:space="preserve">Teklifin komisyonlarımızca incelenmesi neticesinde; aşağıda belirtilen düzeltme ve değişikliklerin yapılarak diğer bölümlerin de idareden geldiği şekliyle kabulüne oy birliğiyle karar verilmiştir. 19.10.2023 </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Pr>
          <w:rFonts w:ascii="Arial" w:hAnsi="Arial" w:cs="Arial"/>
          <w:sz w:val="24"/>
          <w:szCs w:val="24"/>
        </w:rPr>
        <w:t>1</w:t>
      </w:r>
      <w:r w:rsidRPr="00487FD5">
        <w:rPr>
          <w:rFonts w:ascii="Arial" w:hAnsi="Arial" w:cs="Arial"/>
          <w:sz w:val="24"/>
          <w:szCs w:val="24"/>
        </w:rPr>
        <w:t>.2024 yılı bütçesinde yapılan değişikler doğrultusunda; sayfa 34’de bulunan Emlak ve İstimlak Müdürlüğünün sorumlu olduğu SH1.4 nolu “Kurumsal kaynakların etkin ve verimli kullanılmasının sağlanması” şeklindeki hedefe ait F1.4.4 nolu 15.550.000,00-(onbeşmilyonbeşyüzellibin)TL faaliyet bütçesinin, 12.550.000,00(onikimilyonbeşyüzellibin)-TL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2.2024 yılı bütçesinde yapılan değişikler doğrultusunda; sayfa 35’de bulunan Bilgi İşlem Müdürlüğünün sorumlu olduğu SH1.5 nolu “Bilgi ve iletişim teknolojisinin güçlendirilmesiyle etkinliğin ve verimliliğin artırılması” şeklindeki hedefe ait F1.5.2 nolu 8.000.000,00-(sekizmilyon) TL faaliyet bütçesinin 6.000.000,00-(altımilyon)TL ve F1.5.3 nolu 5.700.000,00-(beşmilyonyediyüzbin) TL faaliyet bütçesinin de 1.700.000,00-(birmilyonyediyüzbin)TL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3.2024 yılı bütçesinde yapılan değişikler doğrultusunda; sayfa 36’da bulunan Park ve Bahçeler Müdürlüğünün sorumlu olduğu SH2.1 nolu “Yeşil alan varlığını herkes için erişilebilir kılacak planlama yapılması” şeklindeki hedefe ait F2.1.1 nolu 10.000.000,00-(onmilyon) TL faaliyet bütçesinin 8.000.000,00-(sekizmilyon)TL ve F2.1.4 nolu 5.000.000,00-(beşmilyon) TL faaliyet bütçesinin de 3.000.000,00- (üçmilyon)TL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 xml:space="preserve">4.2024 yılı bütçesinde yapılan değişikler doğrultusunda; sayfa 40’da bulunan Temizlik İşleri Müdürlüğünün sorumlu olduğu SH3.1 nolu “Çöp toplama ve çevre temizliği </w:t>
      </w:r>
      <w:r w:rsidRPr="00487FD5">
        <w:rPr>
          <w:rFonts w:ascii="Arial" w:hAnsi="Arial" w:cs="Arial"/>
          <w:sz w:val="24"/>
          <w:szCs w:val="24"/>
        </w:rPr>
        <w:lastRenderedPageBreak/>
        <w:t>alanındaki hizmetlerin iyileştirilmesi” şeklindeki hedefe ait F3.1.4 nolu 11.000.000,00-(onbirmilyon) TL faaliyet bütçesinin 9.000.000,00-(dokuzmilyon)TL ve F3.1.5 nolu 30.700.000,00-(otuzmilyonyediyüzbin) TL faaliyet bütçesinin de 24.800.000,00-(yirmidörtmilyonsekizyüzbin)TL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5.2024 yılı bütçesinde yapılan değişikler doğrultusunda; sayfa 44’de bulunan Kültür İşleri Müdürlüğünün sorumlu olduğu SH4.2 nolu “Farklı yaş, eğitim ve cinsiyetlerin ihtiyaçlarını karşılayacak eğitim, bilgi ve beceri geliştirme programlarının düzenlenmesi” şeklindeki hedefe ait F4.2.1 nolu 2.000.000,00-(ikimilyon) TL faaliyet bütçesinin 5.500.000,00-(beşmilyonbeşyüzbin)TL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6.2024 yılı bütçesinde yapılan değişikler doğrultusunda; sayfa 45’de bulunan Kültür İşleri Müdürlüğünün sorumlu olduğu SH4.3 nolu “Canlı, zengin ve erişilebilir bir kültür-sanat hayatını tesis edecek etkinlik ve altyapı planlaması yapılması” şeklindeki hedefe ait maliyet bedeli olmayan F4.3.1 nolu faaliyet bütçesinin 5.500.000,00-(beşmilyonbeşyüzbin)TL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7.2024 yılı bütçesinde yapılan değişikler doğrultusunda; sayfa 47’de bulunan Kadın ve Aile Hizmetleri Müdürlüğünün sorumlu olduğu SH5.2 nolu “Dezavantaj Yaşayan Kesimlere Yaşanabilir Yenişehiri Oluşturacak Yerel Eşitlik Planının Geliştirilmesi, Uygulamaya Konulması ve Dönüştürücü Sosyal Desteğin Sağlanması” şeklindeki hedefe ait F5.2.1 nolu 200.000,00-(ikiyüzbin) TL faaliyet bütçesinin 10.000,00-(onbin)TL ve F5.2.3 nolu 210.000,00-(ikiyüzonbin)TL faaliyet bütçesinin de 10.000,00-(onbin)TL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8.2024 yılı bütçesinde yapılan değişikler doğrultusunda; sayfa 48’de bulunan Plan ve Proje Müdürlüğünün sorumlu olduğu SH6.1 nolu “Kentsel dönüşüm ve imar planlarının hak- temelli olacak şekilde hazırlanması” şeklindeki hedefe ait F6.1.1 nolu 800.000,00-(sekizyüzbin) TL faaliyet bütçesinin 400.000,00-(dörtyüzbin)TL ve F6.1.2 nolu 700.000,00-(yediyüzbin)TL faaliyet bütçesinin de 350.000,00-(üçyüzellibin)L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9.2024 yılı bütçesinde yapılan değişikler doğrultusunda; sayfa 48’de bulunan Kentsel Dönüşüm Müdürlüğünün sorumlu olduğu SH6.1 nolu “Kentsel dönüşüm ve imar planlarının hak- temelli olacak şekilde hazırlanması” şeklindeki hedefe ait F6.1.10 nolu 300.000,00-(üçyüzbin) TL faaliyet bütçesinin 100.000,00-(yüzbin)TL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10.2024 yılı bütçesinde yapılan değişikler doğrultusunda; sayfa 49’da bulunan Özel Kalem Müdürlüğünün sorumlu olduğu SH6.2 nolu “Vatandaşın ve sivil toplum kuruluşlarının hizmet planlaması ve izlemesine dahil olduğu yerel yönetişim yapılarının oluşturulması” şeklindeki hedefe ait F6.2.1 nolu 1.500.000,00-(birmilyonbeşyüzbin) TL faaliyet bütçesinin 1.700.000,00-(birmilyonyediyüzbin)TL, F6.2.2 nolu 1.500.000,00-(birmilyonbeşyüzbin) TL faaliyet bütçesinin 2.290.000,00-(ikimilyonikiyüzdoksanbin)TL, F6.2.6 nolu 4.500.000,00-(dörtmilyonbeşyüzbin) TL faaliyet bütçesinin 3.000.000,00-(üçmilyon)TL ve F6.2.7 nolu 2.000.000,00-(ikimilyon)TL faaliyet bütçesinin de 500.000,00-(beşyüzbin)TL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11.2024 yılı bütçesinde yapılan değişikler doğrultusunda; sayfa 51’de bulunan Fen İşleri Müdürlüğünün sorumlu olduğu SH6.3 nolu “Yeterli ve yüksek standartta kentsel Üstyapı ve planlama ile toplum düzeni ve güvenliğine katkı sağlanması” şeklindeki hedefe ait F6.3.1 nolu 129.500.000,00-(yüzyirmidokuzmilyonbeşyüzbin) TL faaliyet bütçesinin 158.301.000,00-(yüzellisekizmilyonüçyüzbirbin)TL, F6.3.2 nolu 20.000.000,00-</w:t>
      </w:r>
      <w:r w:rsidRPr="00487FD5">
        <w:rPr>
          <w:rFonts w:ascii="Arial" w:hAnsi="Arial" w:cs="Arial"/>
          <w:sz w:val="24"/>
          <w:szCs w:val="24"/>
        </w:rPr>
        <w:lastRenderedPageBreak/>
        <w:t>(yirmimilyon)TL faaliyet bütçesinin 20.010.000,00-(yirmimilyononbin)TL ve F6.2.3 nolu 10.000.000,00-(onmilyon) TL faaliyet bütçesinin de 15.301.000,00-(onbeşmilyonüçyüzbirbin)TL olarak düzeltilmesine,</w:t>
      </w:r>
    </w:p>
    <w:p w:rsidR="00487FD5" w:rsidRPr="00487FD5" w:rsidRDefault="00487FD5" w:rsidP="00487FD5">
      <w:pPr>
        <w:tabs>
          <w:tab w:val="left" w:pos="3402"/>
          <w:tab w:val="left" w:pos="3686"/>
        </w:tabs>
        <w:spacing w:after="120" w:line="240" w:lineRule="auto"/>
        <w:jc w:val="both"/>
        <w:rPr>
          <w:rFonts w:ascii="Arial" w:hAnsi="Arial" w:cs="Arial"/>
          <w:sz w:val="24"/>
          <w:szCs w:val="24"/>
        </w:rPr>
      </w:pPr>
      <w:r w:rsidRPr="00487FD5">
        <w:rPr>
          <w:rFonts w:ascii="Arial" w:hAnsi="Arial" w:cs="Arial"/>
          <w:sz w:val="24"/>
          <w:szCs w:val="24"/>
        </w:rPr>
        <w:t>12.2024 yılı bütçesinde yapılan değişikler doğrultusunda; sayfa 53’de bulunan Kırsal Hizmetler Müdürlüğünün sorumlu olduğu SH6.5 nolu “Tarımsal üretimi destekleyen uygulamalarla güvenli gıdaya erişimin ve tarımsal üreticinin desteklenmesi” şeklindeki hedefe ait F6.5.1 nolu 1.010.000,00-(birmilyononbin) TL faaliyet bütçesinin 11.000,00-(onbirbin)TL ve F6.5.2 nolu 65.000.00-(altmışbeşbin) TL faaliyet bütçesinin de 60.000,00-(altmışbin)TL ve olarak düzeltilmesine,</w:t>
      </w:r>
    </w:p>
    <w:p w:rsidR="001F7BF5" w:rsidRDefault="00487FD5" w:rsidP="00487FD5">
      <w:pPr>
        <w:tabs>
          <w:tab w:val="left" w:pos="3402"/>
          <w:tab w:val="left" w:pos="3686"/>
        </w:tabs>
        <w:spacing w:after="120" w:line="240" w:lineRule="auto"/>
        <w:jc w:val="both"/>
        <w:rPr>
          <w:rFonts w:ascii="Times New Roman" w:hAnsi="Times New Roman" w:cs="Times New Roman"/>
          <w:sz w:val="24"/>
          <w:szCs w:val="24"/>
        </w:rPr>
      </w:pPr>
      <w:r w:rsidRPr="00487FD5">
        <w:rPr>
          <w:rFonts w:ascii="Arial" w:hAnsi="Arial" w:cs="Arial"/>
          <w:sz w:val="24"/>
          <w:szCs w:val="24"/>
        </w:rPr>
        <w:t>13.Sayfa 46’da bulunan Sosyal Destek Hizmetleri Müdürlüğünün sorumlu olduğu SH5.1 nolu hedefine ait ‘’Sosyal yardımların insan onurunu ve üretkenliğini zedelemeyecek şekilde hayata geçirilmesi’’ hedefine ait PG5.1.3 nolu Sosyal İnceleme Haritası Oluşturmak performans göstergesinin ait ölçü biriminin “Yüzde” olarak değiştirilmesine;</w:t>
      </w:r>
    </w:p>
    <w:p w:rsidR="001F7BF5" w:rsidRDefault="001F7BF5" w:rsidP="001F7BF5">
      <w:pPr>
        <w:tabs>
          <w:tab w:val="left" w:pos="3402"/>
          <w:tab w:val="left" w:pos="3686"/>
        </w:tabs>
        <w:spacing w:after="120" w:line="240" w:lineRule="auto"/>
        <w:jc w:val="both"/>
        <w:rPr>
          <w:rFonts w:ascii="Times New Roman" w:hAnsi="Times New Roman" w:cs="Times New Roman"/>
          <w:sz w:val="24"/>
          <w:szCs w:val="24"/>
        </w:rPr>
      </w:pPr>
    </w:p>
    <w:p w:rsidR="004B5C61" w:rsidRDefault="004B5C61"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A02D80" w:rsidRDefault="00A02D80"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A02D80" w:rsidRDefault="00A02D80"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90C5E" w:rsidRDefault="00F90C5E"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F90C5E" w:rsidRDefault="00F90C5E"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6C1306" w:rsidRDefault="006C1306" w:rsidP="006C1306">
      <w:pPr>
        <w:tabs>
          <w:tab w:val="left" w:pos="3402"/>
          <w:tab w:val="left" w:pos="3686"/>
        </w:tabs>
        <w:spacing w:after="120" w:line="240" w:lineRule="auto"/>
        <w:jc w:val="both"/>
        <w:rPr>
          <w:rFonts w:ascii="Arial" w:hAnsi="Arial" w:cs="Arial"/>
          <w:b/>
          <w:sz w:val="24"/>
          <w:szCs w:val="24"/>
        </w:rPr>
      </w:pPr>
    </w:p>
    <w:p w:rsidR="006C1306" w:rsidRPr="0035450D" w:rsidRDefault="006C1306" w:rsidP="006C130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5450D" w:rsidRPr="0035450D">
        <w:rPr>
          <w:rFonts w:ascii="Arial" w:hAnsi="Arial" w:cs="Arial"/>
          <w:sz w:val="24"/>
          <w:szCs w:val="24"/>
        </w:rPr>
        <w:t>2</w:t>
      </w:r>
    </w:p>
    <w:p w:rsidR="006C1306" w:rsidRPr="00A346A6" w:rsidRDefault="006C1306" w:rsidP="006C130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20.10.</w:t>
      </w:r>
      <w:r w:rsidRPr="00A346A6">
        <w:rPr>
          <w:rFonts w:ascii="Arial" w:hAnsi="Arial" w:cs="Arial"/>
          <w:sz w:val="24"/>
          <w:szCs w:val="24"/>
        </w:rPr>
        <w:t>202</w:t>
      </w:r>
      <w:r>
        <w:rPr>
          <w:rFonts w:ascii="Arial" w:hAnsi="Arial" w:cs="Arial"/>
          <w:sz w:val="24"/>
          <w:szCs w:val="24"/>
        </w:rPr>
        <w:t>3</w:t>
      </w:r>
    </w:p>
    <w:p w:rsidR="006C1306" w:rsidRPr="00425BAE" w:rsidRDefault="006C1306" w:rsidP="006C130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35450D" w:rsidRPr="0035450D">
        <w:rPr>
          <w:rFonts w:ascii="Arial" w:hAnsi="Arial" w:cs="Arial"/>
          <w:sz w:val="24"/>
          <w:szCs w:val="24"/>
        </w:rPr>
        <w:t>4</w:t>
      </w:r>
    </w:p>
    <w:p w:rsidR="006C1306" w:rsidRPr="00A346A6" w:rsidRDefault="006C1306" w:rsidP="006C130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6C1306" w:rsidRPr="0075122F" w:rsidRDefault="006C1306" w:rsidP="006C130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14</w:t>
      </w:r>
      <w:r w:rsidR="0035450D">
        <w:rPr>
          <w:rFonts w:ascii="Arial" w:hAnsi="Arial" w:cs="Arial"/>
          <w:sz w:val="24"/>
          <w:szCs w:val="24"/>
        </w:rPr>
        <w:t>2</w:t>
      </w:r>
    </w:p>
    <w:p w:rsidR="006C1306" w:rsidRDefault="006C1306" w:rsidP="006C1306">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Pr="00A338AC">
        <w:rPr>
          <w:rFonts w:ascii="Arial" w:hAnsi="Arial" w:cs="Arial"/>
        </w:rPr>
        <w:t>Plan ve Bütçe Komisyonu</w:t>
      </w:r>
      <w:r>
        <w:rPr>
          <w:rFonts w:ascii="Arial" w:hAnsi="Arial" w:cs="Arial"/>
        </w:rPr>
        <w:t xml:space="preserve">, Ekonomik Hayatın Geliştirilmesi </w:t>
      </w:r>
      <w:r>
        <w:rPr>
          <w:rFonts w:ascii="Arial" w:hAnsi="Arial" w:cs="Arial"/>
        </w:rPr>
        <w:tab/>
      </w:r>
      <w:r>
        <w:rPr>
          <w:rFonts w:ascii="Arial" w:hAnsi="Arial" w:cs="Arial"/>
        </w:rPr>
        <w:tab/>
        <w:t>Komisyonu</w:t>
      </w:r>
    </w:p>
    <w:p w:rsidR="006C1306" w:rsidRDefault="006C1306" w:rsidP="006C1306">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6C1306" w:rsidRDefault="006C1306" w:rsidP="006C1306">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b/>
          <w:color w:val="000000" w:themeColor="text1"/>
          <w:sz w:val="24"/>
          <w:szCs w:val="24"/>
        </w:rPr>
        <w:t xml:space="preserve">Ekonomik Hayatın Geliştirilmesi Komisyonu: </w:t>
      </w:r>
      <w:r>
        <w:rPr>
          <w:color w:val="000000" w:themeColor="text1"/>
          <w:sz w:val="24"/>
          <w:szCs w:val="24"/>
        </w:rPr>
        <w:t>İzzet MİREŞ</w:t>
      </w:r>
      <w:r>
        <w:rPr>
          <w:color w:val="000000" w:themeColor="text1"/>
          <w:sz w:val="24"/>
          <w:szCs w:val="24"/>
        </w:rPr>
        <w:tab/>
      </w:r>
      <w:r>
        <w:rPr>
          <w:color w:val="000000" w:themeColor="text1"/>
          <w:sz w:val="24"/>
          <w:szCs w:val="24"/>
        </w:rPr>
        <w:tab/>
        <w:t xml:space="preserve">(Kom. Başk),Vahap DÜZOVA (Kom.Başk.V.)Mehmet </w:t>
      </w:r>
      <w:r>
        <w:rPr>
          <w:color w:val="000000" w:themeColor="text1"/>
          <w:sz w:val="24"/>
          <w:szCs w:val="24"/>
        </w:rPr>
        <w:tab/>
      </w:r>
      <w:r>
        <w:rPr>
          <w:color w:val="000000" w:themeColor="text1"/>
          <w:sz w:val="24"/>
          <w:szCs w:val="24"/>
        </w:rPr>
        <w:tab/>
      </w:r>
      <w:r>
        <w:rPr>
          <w:color w:val="000000" w:themeColor="text1"/>
          <w:sz w:val="24"/>
          <w:szCs w:val="24"/>
        </w:rPr>
        <w:tab/>
        <w:t>YEŞİL,Musa TAŞ, Mehmet Ali AYDENİZ</w:t>
      </w:r>
    </w:p>
    <w:p w:rsidR="006C1306" w:rsidRDefault="006C1306" w:rsidP="006C1306">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19.10.</w:t>
      </w:r>
      <w:r w:rsidRPr="00B0181B">
        <w:rPr>
          <w:sz w:val="24"/>
          <w:szCs w:val="24"/>
        </w:rPr>
        <w:t>2023</w:t>
      </w:r>
    </w:p>
    <w:p w:rsidR="00DC062C" w:rsidRPr="00DC062C" w:rsidRDefault="006C1306" w:rsidP="00DC062C">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DC062C" w:rsidRPr="00DC062C">
        <w:rPr>
          <w:rFonts w:ascii="Arial" w:hAnsi="Arial" w:cs="Arial"/>
          <w:sz w:val="24"/>
          <w:szCs w:val="24"/>
        </w:rPr>
        <w:t>Yenişehir Belediye Meclisinin 02.10.2023 tarih ve 142 sayılı meclis ara kararı ile komisyonlarımıza havale edilen 2024 Mali Yılı Bütçe Tasarısı ve ekleri üzerinde gerekli çalışma ve incelemeler yapılarak;</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1-2024 Mali Yılı Bütçe Tasarısı; 5018 sayılı Kamu Mali Yönetimi ve Kontrol Kanunu, 5393 sayılı Belediye Kanunu ve Mahalli İdareler Bütçe ve Muhasebe Yönetmeliği ile Merkezi Yönetimce hazırlanan Bütçe Çağrısı ve Eki Bütçe Hazırlama Rehberinde yer alan ilkelere uygun bir şekilde hazırlandığı, buna göre Gelir Bütçesinin;</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2024 MALİ YILI GELİR BÜTÇESİ</w:t>
      </w:r>
      <w:r w:rsidRPr="00DC062C">
        <w:rPr>
          <w:rFonts w:ascii="Arial" w:hAnsi="Arial" w:cs="Arial"/>
          <w:sz w:val="24"/>
          <w:szCs w:val="24"/>
        </w:rPr>
        <w:tab/>
        <w:t>:</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Vergi Gelirleri</w:t>
      </w:r>
      <w:r w:rsidRPr="00DC062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314.557.000,00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Teşebbüs ve Mülkiyet Gelirleri </w:t>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 xml:space="preserve"> </w:t>
      </w:r>
      <w:r w:rsidRPr="00DC062C">
        <w:rPr>
          <w:rFonts w:ascii="Arial" w:hAnsi="Arial" w:cs="Arial"/>
          <w:sz w:val="24"/>
          <w:szCs w:val="24"/>
        </w:rPr>
        <w:tab/>
        <w:t xml:space="preserve">70.155.000,00 TL </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Alınan Bağış ve Yardım ile Özel Gelirler   </w:t>
      </w:r>
      <w:r w:rsidRPr="00DC062C">
        <w:rPr>
          <w:rFonts w:ascii="Arial" w:hAnsi="Arial" w:cs="Arial"/>
          <w:sz w:val="24"/>
          <w:szCs w:val="24"/>
        </w:rPr>
        <w:tab/>
        <w:t xml:space="preserve">30.000.000,00 TL </w:t>
      </w:r>
      <w:r w:rsidRPr="00DC062C">
        <w:rPr>
          <w:rFonts w:ascii="Arial" w:hAnsi="Arial" w:cs="Arial"/>
          <w:sz w:val="24"/>
          <w:szCs w:val="24"/>
        </w:rPr>
        <w:tab/>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Diğer Gelirler  </w:t>
      </w:r>
      <w:r w:rsidRPr="00DC062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762.450.000,00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Sermaye Gelirler</w:t>
      </w:r>
      <w:r w:rsidRPr="00DC062C">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DC062C">
        <w:rPr>
          <w:rFonts w:ascii="Arial" w:hAnsi="Arial" w:cs="Arial"/>
          <w:sz w:val="24"/>
          <w:szCs w:val="24"/>
        </w:rPr>
        <w:t>168.000.000,00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Red ve İadeler (-)</w:t>
      </w:r>
      <w:r w:rsidRPr="00DC062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w:t>
      </w:r>
      <w:r w:rsidRPr="00DC062C">
        <w:rPr>
          <w:rFonts w:ascii="Arial" w:hAnsi="Arial" w:cs="Arial"/>
          <w:sz w:val="24"/>
          <w:szCs w:val="24"/>
        </w:rPr>
        <w:tab/>
      </w:r>
    </w:p>
    <w:p w:rsid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TOPLAM</w:t>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 xml:space="preserve">  </w:t>
      </w:r>
      <w:r w:rsidRPr="00DC062C">
        <w:rPr>
          <w:rFonts w:ascii="Arial" w:hAnsi="Arial" w:cs="Arial"/>
          <w:sz w:val="24"/>
          <w:szCs w:val="24"/>
        </w:rPr>
        <w:tab/>
        <w:t xml:space="preserve">1.345.162.000,00 TL </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Olarak hazırlandığı,</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2-Gider Bütçesinin Mahalli İdareler Bütçe ve Muhasebe Yönetmeliği ile Merkezi Yönetimce hazırlanan Bütçe Çağrısı ve Eki Bütçe Hazırlama Rehberinde yer alan sınıflandırmalara uygun bir şekilde düzenlendiği ve Gider Bütçesinin;</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p>
    <w:p w:rsidR="00DC062C" w:rsidRPr="00DC062C" w:rsidRDefault="00DC062C" w:rsidP="00DC062C">
      <w:pPr>
        <w:tabs>
          <w:tab w:val="left" w:pos="3402"/>
          <w:tab w:val="left" w:pos="3686"/>
        </w:tabs>
        <w:spacing w:after="120" w:line="240" w:lineRule="auto"/>
        <w:jc w:val="both"/>
        <w:rPr>
          <w:rFonts w:ascii="Arial" w:hAnsi="Arial" w:cs="Arial"/>
          <w:sz w:val="24"/>
          <w:szCs w:val="24"/>
        </w:rPr>
      </w:pP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lastRenderedPageBreak/>
        <w:t>2024 MALİ YILI GİDER BÜTÇESİ</w:t>
      </w:r>
      <w:r w:rsidRPr="00DC062C">
        <w:rPr>
          <w:rFonts w:ascii="Arial" w:hAnsi="Arial" w:cs="Arial"/>
          <w:sz w:val="24"/>
          <w:szCs w:val="24"/>
        </w:rPr>
        <w:tab/>
        <w:t>:</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01-Personel Giderleri</w:t>
      </w:r>
      <w:r w:rsidRPr="00DC062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234.240.000,00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02-Sos.Güv.Kur.Devlet Primi Giderleri</w:t>
      </w:r>
      <w:r w:rsidRPr="00DC062C">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27.300.000,00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03-Mal ve Hizmet Alımı Giderleri</w:t>
      </w:r>
      <w:r w:rsidRPr="00DC062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706.151.000.00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04-Faiz Giderleri</w:t>
      </w:r>
      <w:r w:rsidRPr="00DC062C">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 xml:space="preserve"> 5.000.000,00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05-Cari Transferler</w:t>
      </w:r>
      <w:r w:rsidRPr="00DC062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37.426.000,00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06-Sermaye Giderleri</w:t>
      </w:r>
      <w:r w:rsidRPr="00DC062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227.045.000,00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07-Sermaye Transferleri</w:t>
      </w:r>
      <w:r w:rsidRPr="00DC062C">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 xml:space="preserve"> 3.000.000,00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08-Borç Verme</w:t>
      </w:r>
      <w:r w:rsidRPr="00DC062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15.000.000,00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09-Yedek Ödenek                          </w:t>
      </w:r>
      <w:r>
        <w:rPr>
          <w:rFonts w:ascii="Arial" w:hAnsi="Arial" w:cs="Arial"/>
          <w:sz w:val="24"/>
          <w:szCs w:val="24"/>
        </w:rPr>
        <w:t xml:space="preserve">                               </w:t>
      </w:r>
      <w:r w:rsidRPr="00DC062C">
        <w:rPr>
          <w:rFonts w:ascii="Arial" w:hAnsi="Arial" w:cs="Arial"/>
          <w:sz w:val="24"/>
          <w:szCs w:val="24"/>
        </w:rPr>
        <w:t>90.000.000,00 TL</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TOPLAM  </w:t>
      </w:r>
      <w:r w:rsidRPr="00DC062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062C">
        <w:rPr>
          <w:rFonts w:ascii="Arial" w:hAnsi="Arial" w:cs="Arial"/>
          <w:sz w:val="24"/>
          <w:szCs w:val="24"/>
        </w:rPr>
        <w:t xml:space="preserve">1.345.162.000,00 TL   </w:t>
      </w:r>
      <w:r w:rsidRPr="00DC062C">
        <w:rPr>
          <w:rFonts w:ascii="Arial" w:hAnsi="Arial" w:cs="Arial"/>
          <w:sz w:val="24"/>
          <w:szCs w:val="24"/>
        </w:rPr>
        <w:tab/>
        <w:t xml:space="preserve"> </w:t>
      </w:r>
      <w:r w:rsidRPr="00DC062C">
        <w:rPr>
          <w:rFonts w:ascii="Arial" w:hAnsi="Arial" w:cs="Arial"/>
          <w:sz w:val="24"/>
          <w:szCs w:val="24"/>
        </w:rPr>
        <w:tab/>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Olarak hazırlandığı,</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3-Bütçeye eklenen G-H-K,K–1,K–2 cetvelinin usulüne uygun olarak hazırlandığı</w:t>
      </w:r>
      <w:r>
        <w:rPr>
          <w:rFonts w:ascii="Arial" w:hAnsi="Arial" w:cs="Arial"/>
          <w:sz w:val="24"/>
          <w:szCs w:val="24"/>
        </w:rPr>
        <w:t>,</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4-22/08/2008 tarih ve 26295 sayılı Resmi Gazetede yayınlanan Türkiye Cumhuriyeti Devletinin para birimi hakkındaki kanuna uygun olarak hazırlandığı,</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5-İdare tarafından teklif edilen 2024 Mali Yılı Gelir Bütçesi toplamı 1.345.162.000,00-TL(BirmilyarüçyüzkırkbeşmilyonyüzaltmışikibinTL) Gider Bütçesi toplamı 1.345.162.000,00-TL (BirmilyarüçyüzkırkbeşmilyonyüzaltmışikibinTL), olarak tahmin edildiği görülmüştür.</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Pr>
          <w:rFonts w:ascii="Arial" w:hAnsi="Arial" w:cs="Arial"/>
          <w:sz w:val="24"/>
          <w:szCs w:val="24"/>
        </w:rPr>
        <w:t>K</w:t>
      </w:r>
      <w:r w:rsidRPr="00DC062C">
        <w:rPr>
          <w:rFonts w:ascii="Arial" w:hAnsi="Arial" w:cs="Arial"/>
          <w:sz w:val="24"/>
          <w:szCs w:val="24"/>
        </w:rPr>
        <w:t>omisyonlarımızca müştereken havale edilen 2024 Mali Yılı Bütçe tasarısı üzerinde gerekli incelemeler yapılmış ve ;</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- 2024 Mali Yılı Gider Bütçesi ve Gelir Bütçesi idarenin teklifinde 1.345.162.000,00-TL (BirmilyarüçyüzkırkbeşmilyonyüzaltmışikibinTL) iken 55.162.000,00-TL (EllibeşmilyonyüzalkmışikibinTL) düşürülerek 1.290.000.000,00-TL (BirmilyarikiyükdoksanmilyonTL) olarak karara bağlanmıştır.</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idarece teklif edilen Müdürlüklerin Gider Bütçesi içerisinde yapılan değişiklikler aşağıda belirtilmiştir.  :</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Özel Kalem Müdürlüğü bütçesi 10.000.000,00TL(onmilyonTL)’den 7.990.000,00-TL(yedimilyondokuzyüzdoksanbinTL)’ye,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 </w:t>
      </w:r>
      <w:r w:rsidRPr="00DC062C">
        <w:rPr>
          <w:rFonts w:ascii="Arial" w:hAnsi="Arial" w:cs="Arial"/>
          <w:sz w:val="24"/>
          <w:szCs w:val="24"/>
        </w:rPr>
        <w:t>Sosyal Destek Hizmetleri Müdürlüğü bütçesi 39.930.000,00-TL (otuzdokuzmilyondokuzyüzotuzbinTL)’den</w:t>
      </w:r>
      <w:r>
        <w:rPr>
          <w:rFonts w:ascii="Arial" w:hAnsi="Arial" w:cs="Arial"/>
          <w:sz w:val="24"/>
          <w:szCs w:val="24"/>
        </w:rPr>
        <w:t xml:space="preserve"> </w:t>
      </w:r>
      <w:r w:rsidRPr="00DC062C">
        <w:rPr>
          <w:rFonts w:ascii="Arial" w:hAnsi="Arial" w:cs="Arial"/>
          <w:sz w:val="24"/>
          <w:szCs w:val="24"/>
        </w:rPr>
        <w:t xml:space="preserve">38.932.000,00-TL tuzsekizmilyondokuzyüzotuzikibinTL)’ye, </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İşletme ve İştirakler Müdürlüğü bütçesi 15.000.000,00-TL(onbeşmilyonTL)’den 10.000.000,00-TL(onmilyonTL)’ye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Kentsel Dönüşüm Müdürlüğü bütçesi 510.000,00-TL(beşyüzonbinTL)’den 310.000,00-TL(üçyüzonbinTL)’ye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lastRenderedPageBreak/>
        <w:t>-  Kadın ve Aile Hizmetleri Müdürlüğü bütçesi 800.000,00TL(sekizyüzbinTL)’den 410.000,00-TL(dörtyüzonbinTL)’ye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Plan ve Proje Müdürlüğü bütçesi 1.500.000,00-TL(birmilyonbeşyüzbinTL)’den 750.000,00-TL(yediyüzellibinTL)’ye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Hukuk İşleri Müdürlüğü bütçesi 2.500.000,00-TL(ikimilyonbeşyüzbin)TL’den 1.750.000,00-TL(birmilyonyediyüzellibinTL)’ye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Temizlik İşleri Müdürlüğü bütçesi 43.900.000,00-TL(kırküçmilyondokuzyüzbinTL)’den 36.000.000,00-TL(otuzaltımilyonTL)’ye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İmar ve Şehircilik Müdürlüğü bütçesi 3.450.000,00-TL(üçmilyondörtyüzellibinTL)’den 2.000.000,00-TL(ikimilyonTL)’ye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Fen İşleri Müdürlüğü bütçesi 204.112.000,00-TL(ikiyüzdörtmilyonyüzonikibinTL)’den 194.262.000,00-TL(yüzdoksandörtmilyonikiyüzaltmışikibinTL)’ye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Muhtarlık İşleri Müdürlüğü bütçesi 3.950.000,00-TL(üçmilyondokuzyüzellibinTL)’den 3.000.000,00-TL(üçmilyonTL)’ye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Pr>
          <w:rFonts w:ascii="Arial" w:hAnsi="Arial" w:cs="Arial"/>
          <w:sz w:val="24"/>
          <w:szCs w:val="24"/>
        </w:rPr>
        <w:t>-</w:t>
      </w:r>
      <w:r w:rsidRPr="00DC062C">
        <w:rPr>
          <w:rFonts w:ascii="Arial" w:hAnsi="Arial" w:cs="Arial"/>
          <w:sz w:val="24"/>
          <w:szCs w:val="24"/>
        </w:rPr>
        <w:t>Park</w:t>
      </w:r>
      <w:r>
        <w:rPr>
          <w:rFonts w:ascii="Arial" w:hAnsi="Arial" w:cs="Arial"/>
          <w:sz w:val="24"/>
          <w:szCs w:val="24"/>
        </w:rPr>
        <w:t xml:space="preserve"> B</w:t>
      </w:r>
      <w:r w:rsidRPr="00DC062C">
        <w:rPr>
          <w:rFonts w:ascii="Arial" w:hAnsi="Arial" w:cs="Arial"/>
          <w:sz w:val="24"/>
          <w:szCs w:val="24"/>
        </w:rPr>
        <w:t>ahçeler Müdürlüğü bütçesi 44.325.000,00-TL(kırkdörtmilyonüçyüzyirmibeşbinTL)’den 40.325.000,00-TL(kırkmilyonüçyüzyirbeşbinTL)’ye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Emlak ve İstimlak Müdürlüğü bütçesi 21.750.000,00-TL(yirmibirmilyonyediyüzellibinTL)’den 18.750.000,00-TL(onsekizmilyonyediyüzellibinTL)’ye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Destek Hizmetleri Müdürlüğü bütçesi 124.305.000,00-TL(yüzyirmidörtmilyonüçyüzbeşbinTL)’den 108.305.000,00-TL(yüzsekizmilyonüçyüzbeşbinTL)’ye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İklim Değişikliği ve Sıfır Atık Müdürlüğü bütçesi 36.705.000,00-TL(otuzaltımilyonyediyüzbeşbinTL)’den 4.705.000,00-TL(dörtmilyonyediyüzbeşbinTL)’ye</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Kırsal Hizmetler Müdürlüğü bütçesi 1.625.000,00-TL(birmilyonaltıyüzyirmibeşbinTL)’den 571.000,00TL(beşyüzyetmişbirbinTL)’ye düşürülmüştür.</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-İklim Değişikliği ve Sıfır Atık Müdürlüğünde yer alan Elektrik Alımları Kalemi Bilgi İşlem Müdürlüğü bütçesine eklendiğinden 18.400.000,00-TL (onsekizmilyondörtyüzbinTL) olan Bilgi İşlem Müdürlüğü bütçesi 40.400.000,00-TL (kırkmilyondörtyüzbinTL)’ye yükseltilmiştir.</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-Kültür İşleri Müdürlüğü bütçesi 5.205.000,00TL(BeşmilyonikiyüzbeşbinTL)’den 14.345.000,00-TL(ondörtmilyonüçyüzkırkbeşbinTL)’ye yükseltilerek diğer Müdürlüklerin Gider bütçeleri idareden geldiği şekliyle kabulüne karar verilmiştir.</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 Gelir Bütçesinde aşağıda belirtilen değişiklikler  :</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Alınan Bağış ve Yardımlar ile Özel Gelirler bütçesi idarenin teklifi 30.000.000,00-TL(otuzmilyonTL) iken 10.000.000,00-(onmilyon)TL düşürülerek 20.000.000,00-TL(yirmimilyonTL) olarak,</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lastRenderedPageBreak/>
        <w:t>Merkezi İdare Vergi Gelirlerinden Alınan Paylar bütçesi idarenin teklifi 672.000.000,00-TL(altıyüzyetmişikimilyonTL) iken 45.162.000,00-TL(kırkbeşmilyonyüzaltmışikibinTL) düşürülerek 626.838.000,00-TL(altıyüzyirmialtımilyonsekizyüzotuzsekizbinTL) olarak karara bağlanmıştır.</w:t>
      </w:r>
    </w:p>
    <w:p w:rsidR="00DC062C" w:rsidRPr="00DC062C" w:rsidRDefault="00DC062C" w:rsidP="00DC062C">
      <w:pPr>
        <w:tabs>
          <w:tab w:val="left" w:pos="3402"/>
          <w:tab w:val="left" w:pos="3686"/>
        </w:tabs>
        <w:spacing w:after="120" w:line="240" w:lineRule="auto"/>
        <w:jc w:val="both"/>
        <w:rPr>
          <w:rFonts w:ascii="Arial" w:hAnsi="Arial" w:cs="Arial"/>
          <w:sz w:val="24"/>
          <w:szCs w:val="24"/>
        </w:rPr>
      </w:pPr>
      <w:r w:rsidRPr="00DC062C">
        <w:rPr>
          <w:rFonts w:ascii="Arial" w:hAnsi="Arial" w:cs="Arial"/>
          <w:sz w:val="24"/>
          <w:szCs w:val="24"/>
        </w:rPr>
        <w:t xml:space="preserve">Sonuç olarak; </w:t>
      </w:r>
    </w:p>
    <w:p w:rsidR="006C1306" w:rsidRDefault="00DC062C" w:rsidP="00DC062C">
      <w:pPr>
        <w:tabs>
          <w:tab w:val="left" w:pos="3402"/>
          <w:tab w:val="left" w:pos="3686"/>
        </w:tabs>
        <w:spacing w:after="120" w:line="240" w:lineRule="auto"/>
        <w:jc w:val="both"/>
        <w:rPr>
          <w:rFonts w:ascii="Times New Roman" w:hAnsi="Times New Roman" w:cs="Times New Roman"/>
          <w:sz w:val="24"/>
          <w:szCs w:val="24"/>
        </w:rPr>
      </w:pPr>
      <w:r w:rsidRPr="00DC062C">
        <w:rPr>
          <w:rFonts w:ascii="Arial" w:hAnsi="Arial" w:cs="Arial"/>
          <w:sz w:val="24"/>
          <w:szCs w:val="24"/>
        </w:rPr>
        <w:t>Komisyonlarımızca Yenişehir Belediyesinin 2024 Mali Yılı Bütçe tasarısında yukarıda görüldüğü gibi gerekli değişiklikler yapılarak Gider Bütçesinin 1.290.000.000,00- (Birmilyarikiyüzdoksanmilyon)TL, Gelir Bütçesinin 1.290.000.000,00-(Birmilyarikiyüzdoksanmilyon) TL olarak karara bağlanmasının kabulüne komisyonlarımızca oy birliği ile karar verildi.</w:t>
      </w: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487FD5" w:rsidRDefault="00487FD5"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DC062C" w:rsidRDefault="00DC062C" w:rsidP="00F90C5E">
      <w:pPr>
        <w:tabs>
          <w:tab w:val="left" w:pos="3402"/>
          <w:tab w:val="left" w:pos="3686"/>
        </w:tabs>
        <w:spacing w:after="120" w:line="240" w:lineRule="auto"/>
        <w:jc w:val="both"/>
        <w:rPr>
          <w:rFonts w:ascii="Times New Roman" w:hAnsi="Times New Roman" w:cs="Times New Roman"/>
          <w:sz w:val="24"/>
          <w:szCs w:val="24"/>
        </w:rPr>
      </w:pPr>
    </w:p>
    <w:p w:rsidR="00F90C5E" w:rsidRPr="001572CE" w:rsidRDefault="00F90C5E" w:rsidP="00F90C5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DC062C" w:rsidRPr="000C2282">
        <w:rPr>
          <w:rFonts w:ascii="Arial" w:hAnsi="Arial" w:cs="Arial"/>
          <w:sz w:val="24"/>
          <w:szCs w:val="24"/>
        </w:rPr>
        <w:t>3</w:t>
      </w:r>
    </w:p>
    <w:p w:rsidR="00F90C5E" w:rsidRPr="00A346A6" w:rsidRDefault="00F90C5E" w:rsidP="00F90C5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DC062C">
        <w:rPr>
          <w:rFonts w:ascii="Arial" w:hAnsi="Arial" w:cs="Arial"/>
          <w:sz w:val="24"/>
          <w:szCs w:val="24"/>
        </w:rPr>
        <w:t>20</w:t>
      </w:r>
      <w:r>
        <w:rPr>
          <w:rFonts w:ascii="Arial" w:hAnsi="Arial" w:cs="Arial"/>
          <w:sz w:val="24"/>
          <w:szCs w:val="24"/>
        </w:rPr>
        <w:t>.10.</w:t>
      </w:r>
      <w:r w:rsidRPr="00A346A6">
        <w:rPr>
          <w:rFonts w:ascii="Arial" w:hAnsi="Arial" w:cs="Arial"/>
          <w:sz w:val="24"/>
          <w:szCs w:val="24"/>
        </w:rPr>
        <w:t>202</w:t>
      </w:r>
      <w:r>
        <w:rPr>
          <w:rFonts w:ascii="Arial" w:hAnsi="Arial" w:cs="Arial"/>
          <w:sz w:val="24"/>
          <w:szCs w:val="24"/>
        </w:rPr>
        <w:t>3</w:t>
      </w:r>
    </w:p>
    <w:p w:rsidR="00F90C5E" w:rsidRPr="001572CE" w:rsidRDefault="00F90C5E" w:rsidP="00F90C5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0C2282">
        <w:rPr>
          <w:rFonts w:ascii="Arial" w:hAnsi="Arial" w:cs="Arial"/>
          <w:sz w:val="24"/>
          <w:szCs w:val="24"/>
        </w:rPr>
        <w:t>5</w:t>
      </w:r>
    </w:p>
    <w:p w:rsidR="00F90C5E" w:rsidRPr="00A346A6" w:rsidRDefault="00F90C5E" w:rsidP="00F90C5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F90C5E" w:rsidRPr="0075122F" w:rsidRDefault="00F90C5E" w:rsidP="00F90C5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14</w:t>
      </w:r>
      <w:r w:rsidR="005D7202">
        <w:rPr>
          <w:rFonts w:ascii="Arial" w:hAnsi="Arial" w:cs="Arial"/>
          <w:sz w:val="24"/>
          <w:szCs w:val="24"/>
        </w:rPr>
        <w:t>3</w:t>
      </w:r>
    </w:p>
    <w:p w:rsidR="005D7202" w:rsidRDefault="005D7202" w:rsidP="005D7202">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Pr="00A338AC">
        <w:rPr>
          <w:rFonts w:ascii="Arial" w:hAnsi="Arial" w:cs="Arial"/>
        </w:rPr>
        <w:t>Plan ve Bütçe Komisyonu</w:t>
      </w:r>
      <w:r>
        <w:rPr>
          <w:rFonts w:ascii="Arial" w:hAnsi="Arial" w:cs="Arial"/>
        </w:rPr>
        <w:t xml:space="preserve">, Ekonomik Hayatın Geliştirilmesi </w:t>
      </w:r>
      <w:r>
        <w:rPr>
          <w:rFonts w:ascii="Arial" w:hAnsi="Arial" w:cs="Arial"/>
        </w:rPr>
        <w:tab/>
      </w:r>
      <w:r>
        <w:rPr>
          <w:rFonts w:ascii="Arial" w:hAnsi="Arial" w:cs="Arial"/>
        </w:rPr>
        <w:tab/>
        <w:t>Komisyonu</w:t>
      </w:r>
    </w:p>
    <w:p w:rsidR="005D7202" w:rsidRDefault="005D7202" w:rsidP="005D7202">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5D7202" w:rsidRDefault="005D7202" w:rsidP="005D7202">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b/>
          <w:color w:val="000000" w:themeColor="text1"/>
          <w:sz w:val="24"/>
          <w:szCs w:val="24"/>
        </w:rPr>
        <w:t xml:space="preserve">Ekonomik Hayatın Geliştirilmesi Komisyonu: </w:t>
      </w:r>
      <w:r>
        <w:rPr>
          <w:color w:val="000000" w:themeColor="text1"/>
          <w:sz w:val="24"/>
          <w:szCs w:val="24"/>
        </w:rPr>
        <w:t>İzzet MİREŞ</w:t>
      </w:r>
      <w:r>
        <w:rPr>
          <w:color w:val="000000" w:themeColor="text1"/>
          <w:sz w:val="24"/>
          <w:szCs w:val="24"/>
        </w:rPr>
        <w:tab/>
      </w:r>
      <w:r>
        <w:rPr>
          <w:color w:val="000000" w:themeColor="text1"/>
          <w:sz w:val="24"/>
          <w:szCs w:val="24"/>
        </w:rPr>
        <w:tab/>
        <w:t xml:space="preserve">(Kom. Başk),Vahap DÜZOVA (Kom.Başk.V.)Mehmet </w:t>
      </w:r>
      <w:r>
        <w:rPr>
          <w:color w:val="000000" w:themeColor="text1"/>
          <w:sz w:val="24"/>
          <w:szCs w:val="24"/>
        </w:rPr>
        <w:tab/>
      </w:r>
      <w:r>
        <w:rPr>
          <w:color w:val="000000" w:themeColor="text1"/>
          <w:sz w:val="24"/>
          <w:szCs w:val="24"/>
        </w:rPr>
        <w:tab/>
      </w:r>
      <w:r>
        <w:rPr>
          <w:color w:val="000000" w:themeColor="text1"/>
          <w:sz w:val="24"/>
          <w:szCs w:val="24"/>
        </w:rPr>
        <w:tab/>
        <w:t>YEŞİL,Musa TAŞ, Mehmet Ali AYDENİZ</w:t>
      </w:r>
    </w:p>
    <w:p w:rsidR="00F90C5E" w:rsidRDefault="00F90C5E" w:rsidP="00F90C5E">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5D7202">
        <w:rPr>
          <w:sz w:val="24"/>
          <w:szCs w:val="24"/>
        </w:rPr>
        <w:t>19</w:t>
      </w:r>
      <w:r>
        <w:rPr>
          <w:sz w:val="24"/>
          <w:szCs w:val="24"/>
        </w:rPr>
        <w:t>.10.</w:t>
      </w:r>
      <w:r w:rsidRPr="00B0181B">
        <w:rPr>
          <w:sz w:val="24"/>
          <w:szCs w:val="24"/>
        </w:rPr>
        <w:t>2023</w:t>
      </w:r>
    </w:p>
    <w:p w:rsidR="00F90C5E" w:rsidRDefault="00F90C5E" w:rsidP="005D7202">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5D7202" w:rsidRPr="005D7202">
        <w:rPr>
          <w:rFonts w:ascii="Arial" w:hAnsi="Arial" w:cs="Arial"/>
          <w:sz w:val="24"/>
          <w:szCs w:val="24"/>
        </w:rPr>
        <w:t>Belediye Meclisinin 02.10.2023 tarih ve 143 sayılı meclis ara kararı ile Komisyonlarımıza müştereken havale edilen 2024 Mali Yılı Vergi Harç ve Ücret Tarife taslağı üzerinde gerekli çalışma ve incelemeler yapılarak, tarifenin idareden geldiği şekliyle kabulüne komisyonlarımızca oy birliği ile karar verildi.</w:t>
      </w:r>
    </w:p>
    <w:p w:rsidR="005D7202" w:rsidRDefault="005D7202" w:rsidP="005D7202">
      <w:pPr>
        <w:tabs>
          <w:tab w:val="left" w:pos="3402"/>
          <w:tab w:val="left" w:pos="3686"/>
        </w:tabs>
        <w:spacing w:after="120" w:line="240" w:lineRule="auto"/>
        <w:jc w:val="both"/>
        <w:rPr>
          <w:rFonts w:ascii="Arial" w:hAnsi="Arial" w:cs="Arial"/>
          <w:b/>
          <w:sz w:val="24"/>
          <w:szCs w:val="24"/>
        </w:rPr>
      </w:pPr>
    </w:p>
    <w:p w:rsidR="00F90C5E" w:rsidRDefault="00F90C5E" w:rsidP="001F7BF5">
      <w:pPr>
        <w:tabs>
          <w:tab w:val="left" w:pos="3402"/>
          <w:tab w:val="left" w:pos="3686"/>
        </w:tabs>
        <w:spacing w:after="120" w:line="240" w:lineRule="auto"/>
        <w:jc w:val="both"/>
        <w:rPr>
          <w:rFonts w:ascii="Arial" w:hAnsi="Arial" w:cs="Arial"/>
          <w:b/>
          <w:sz w:val="24"/>
          <w:szCs w:val="24"/>
        </w:rPr>
      </w:pPr>
    </w:p>
    <w:p w:rsidR="00F90C5E" w:rsidRDefault="00F90C5E"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Default="005D7202" w:rsidP="001F7BF5">
      <w:pPr>
        <w:tabs>
          <w:tab w:val="left" w:pos="3402"/>
          <w:tab w:val="left" w:pos="3686"/>
        </w:tabs>
        <w:spacing w:after="120" w:line="240" w:lineRule="auto"/>
        <w:jc w:val="both"/>
        <w:rPr>
          <w:rFonts w:ascii="Arial" w:hAnsi="Arial" w:cs="Arial"/>
          <w:b/>
          <w:sz w:val="24"/>
          <w:szCs w:val="24"/>
        </w:rPr>
      </w:pPr>
    </w:p>
    <w:p w:rsidR="005D7202" w:rsidRPr="001572CE" w:rsidRDefault="005D7202" w:rsidP="005D720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5D7202">
        <w:rPr>
          <w:rFonts w:ascii="Arial" w:hAnsi="Arial" w:cs="Arial"/>
          <w:sz w:val="24"/>
          <w:szCs w:val="24"/>
        </w:rPr>
        <w:tab/>
        <w:t>4</w:t>
      </w:r>
    </w:p>
    <w:p w:rsidR="005D7202" w:rsidRPr="00A346A6" w:rsidRDefault="005D7202" w:rsidP="005D720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20.10.</w:t>
      </w:r>
      <w:r w:rsidRPr="00A346A6">
        <w:rPr>
          <w:rFonts w:ascii="Arial" w:hAnsi="Arial" w:cs="Arial"/>
          <w:sz w:val="24"/>
          <w:szCs w:val="24"/>
        </w:rPr>
        <w:t>202</w:t>
      </w:r>
      <w:r>
        <w:rPr>
          <w:rFonts w:ascii="Arial" w:hAnsi="Arial" w:cs="Arial"/>
          <w:sz w:val="24"/>
          <w:szCs w:val="24"/>
        </w:rPr>
        <w:t>3</w:t>
      </w:r>
    </w:p>
    <w:p w:rsidR="005D7202" w:rsidRPr="001572CE" w:rsidRDefault="005D7202" w:rsidP="005D720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5D7202">
        <w:rPr>
          <w:rFonts w:ascii="Arial" w:hAnsi="Arial" w:cs="Arial"/>
          <w:sz w:val="24"/>
          <w:szCs w:val="24"/>
        </w:rPr>
        <w:t>6</w:t>
      </w:r>
    </w:p>
    <w:p w:rsidR="005D7202" w:rsidRPr="00A346A6" w:rsidRDefault="005D7202" w:rsidP="005D7202">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5D7202" w:rsidRPr="0075122F" w:rsidRDefault="005D7202" w:rsidP="005D7202">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144</w:t>
      </w:r>
    </w:p>
    <w:p w:rsidR="005D7202" w:rsidRPr="001572CE" w:rsidRDefault="005D7202" w:rsidP="005D7202">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color w:val="000000" w:themeColor="text1"/>
          <w:sz w:val="24"/>
          <w:szCs w:val="24"/>
        </w:rPr>
        <w:t xml:space="preserve">Plan ve Bütçe </w:t>
      </w:r>
      <w:r w:rsidRPr="001572CE">
        <w:rPr>
          <w:color w:val="000000" w:themeColor="text1"/>
          <w:sz w:val="24"/>
          <w:szCs w:val="24"/>
        </w:rPr>
        <w:t>Komisyonu</w:t>
      </w:r>
      <w:r w:rsidRPr="001572CE">
        <w:rPr>
          <w:sz w:val="24"/>
          <w:szCs w:val="24"/>
        </w:rPr>
        <w:t xml:space="preserve">, </w:t>
      </w:r>
      <w:r w:rsidRPr="001572CE">
        <w:rPr>
          <w:rFonts w:ascii="Arial" w:hAnsi="Arial" w:cs="Arial"/>
        </w:rPr>
        <w:t>Gıda Tarım ve</w:t>
      </w:r>
      <w:r>
        <w:rPr>
          <w:rFonts w:ascii="Arial" w:hAnsi="Arial" w:cs="Arial"/>
        </w:rPr>
        <w:t xml:space="preserve"> </w:t>
      </w:r>
      <w:r w:rsidRPr="001572CE">
        <w:rPr>
          <w:rFonts w:ascii="Arial" w:hAnsi="Arial" w:cs="Arial"/>
        </w:rPr>
        <w:tab/>
        <w:t>Sağlık Komisyonu</w:t>
      </w:r>
    </w:p>
    <w:p w:rsidR="005D7202" w:rsidRDefault="005D7202" w:rsidP="005D7202">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5D7202" w:rsidRDefault="005D7202" w:rsidP="005D7202">
      <w:pPr>
        <w:tabs>
          <w:tab w:val="left" w:pos="3402"/>
          <w:tab w:val="left" w:pos="3686"/>
        </w:tabs>
        <w:spacing w:after="120" w:line="240" w:lineRule="auto"/>
        <w:jc w:val="both"/>
        <w:rPr>
          <w:rFonts w:ascii="Arial" w:hAnsi="Arial" w:cs="Arial"/>
        </w:rPr>
      </w:pPr>
      <w:r>
        <w:rPr>
          <w:rFonts w:ascii="Arial" w:hAnsi="Arial" w:cs="Arial"/>
          <w:b/>
        </w:rPr>
        <w:tab/>
      </w:r>
      <w:r>
        <w:rPr>
          <w:rFonts w:ascii="Arial" w:hAnsi="Arial" w:cs="Arial"/>
          <w:b/>
        </w:rPr>
        <w:tab/>
        <w:t xml:space="preserve">Gıda Tarım ve Sağlık Komisyonu: </w:t>
      </w:r>
      <w:r>
        <w:rPr>
          <w:rFonts w:ascii="Arial" w:hAnsi="Arial" w:cs="Arial"/>
        </w:rPr>
        <w:t xml:space="preserve">Metin SOLUNOĞLU </w:t>
      </w:r>
      <w:r>
        <w:rPr>
          <w:rFonts w:ascii="Arial" w:hAnsi="Arial" w:cs="Arial"/>
        </w:rPr>
        <w:tab/>
      </w:r>
      <w:r>
        <w:rPr>
          <w:rFonts w:ascii="Arial" w:hAnsi="Arial" w:cs="Arial"/>
        </w:rPr>
        <w:tab/>
        <w:t xml:space="preserve">(Kom. Başk.), Hülya GÜNEL (Kom. Başk. V.), Özkan </w:t>
      </w:r>
      <w:r>
        <w:rPr>
          <w:rFonts w:ascii="Arial" w:hAnsi="Arial" w:cs="Arial"/>
        </w:rPr>
        <w:tab/>
      </w:r>
      <w:r>
        <w:rPr>
          <w:rFonts w:ascii="Arial" w:hAnsi="Arial" w:cs="Arial"/>
        </w:rPr>
        <w:tab/>
      </w:r>
      <w:r>
        <w:rPr>
          <w:rFonts w:ascii="Arial" w:hAnsi="Arial" w:cs="Arial"/>
        </w:rPr>
        <w:tab/>
        <w:t>ÖZDEMİR, Mehmet AKKAŞ, Fuat AKBAŞ.</w:t>
      </w:r>
    </w:p>
    <w:p w:rsidR="005D7202" w:rsidRDefault="005D7202" w:rsidP="005D7202">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19.10.</w:t>
      </w:r>
      <w:r w:rsidRPr="00B0181B">
        <w:rPr>
          <w:sz w:val="24"/>
          <w:szCs w:val="24"/>
        </w:rPr>
        <w:t>2023</w:t>
      </w:r>
    </w:p>
    <w:p w:rsidR="00342DD7" w:rsidRPr="00342DD7" w:rsidRDefault="005D7202" w:rsidP="00342DD7">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342DD7" w:rsidRPr="00342DD7">
        <w:rPr>
          <w:rFonts w:ascii="Arial" w:hAnsi="Arial" w:cs="Arial"/>
          <w:sz w:val="24"/>
          <w:szCs w:val="24"/>
        </w:rPr>
        <w:t>2024 Mali Yılı Evsel Katı Atık ve Ücret Tarifesinin” belirlenmesi ile ilgili teklif 02.10.2023 tarih ve 144 sayılı Belediye Meclisinin ara kararıyla komisyonlarımıza müştereken havale edilmiş olup; Komisyonlarımızca teklif ile ilgili Evsel Katı Atık Tarifelerinin belirlenmesine yönelik idarece hazırlanan “Atıksu Altyapı ve Evsel Katı Atık Bertaraf Tesisleri Tarifelerinin Belirlenmesinde Uygulanacak Evsel Katı Atık Ücretlerinin Tahsilatına İlişkin Usul ve Esaslar ile ilgili gerekli incelemeler yapılmıştır.</w:t>
      </w:r>
    </w:p>
    <w:p w:rsidR="005D7202" w:rsidRDefault="00342DD7" w:rsidP="001F7BF5">
      <w:pPr>
        <w:tabs>
          <w:tab w:val="left" w:pos="3402"/>
          <w:tab w:val="left" w:pos="3686"/>
        </w:tabs>
        <w:spacing w:after="120" w:line="240" w:lineRule="auto"/>
        <w:jc w:val="both"/>
        <w:rPr>
          <w:rFonts w:ascii="Arial" w:hAnsi="Arial" w:cs="Arial"/>
          <w:b/>
          <w:sz w:val="24"/>
          <w:szCs w:val="24"/>
        </w:rPr>
      </w:pPr>
      <w:r w:rsidRPr="00342DD7">
        <w:rPr>
          <w:rFonts w:ascii="Arial" w:hAnsi="Arial" w:cs="Arial"/>
          <w:sz w:val="24"/>
          <w:szCs w:val="24"/>
        </w:rPr>
        <w:t>Yapılan incelemeler sonucunda; Katı atıkların toplanması, ayrıştırılması, geri kazanımı, ortadan kaldırılması ve depolanması ile ilgili bütün hizmetleri yapmak ve yaptırmakla belediyeleri yükümlü kılan 5393 Sayılı Belediye Kanununun 15. maddesi (g) bendi ile 2872 sayılı Çevre Kanununun 11. maddesi uyarınca "Atıksu Altyapı ve Evsel Katı Atık Bertaraf Tesisleri Tarifelerinin Belirlenmesinde Uygulanacak Usul ve Esaslara İlişkin Yönetmeliği" hükümleri uyarınca hazırlanan Belediyemiz 2024 Mali Yılı Evsel Katı Atık Ücret Tarifesinin idareden geldiği şekliyle kabulüne komisyonlarımızca oy birliği ile karar verildi.</w:t>
      </w:r>
    </w:p>
    <w:sectPr w:rsidR="005D7202"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567" w:rsidRDefault="00D62567" w:rsidP="00C30551">
      <w:pPr>
        <w:spacing w:after="0" w:line="240" w:lineRule="auto"/>
      </w:pPr>
      <w:r>
        <w:separator/>
      </w:r>
    </w:p>
  </w:endnote>
  <w:endnote w:type="continuationSeparator" w:id="1">
    <w:p w:rsidR="00D62567" w:rsidRDefault="00D62567"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567" w:rsidRDefault="00D62567" w:rsidP="00C30551">
      <w:pPr>
        <w:spacing w:after="0" w:line="240" w:lineRule="auto"/>
      </w:pPr>
      <w:r>
        <w:separator/>
      </w:r>
    </w:p>
  </w:footnote>
  <w:footnote w:type="continuationSeparator" w:id="1">
    <w:p w:rsidR="00D62567" w:rsidRDefault="00D62567"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823008">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08994"/>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405D9"/>
    <w:rsid w:val="00041F7A"/>
    <w:rsid w:val="000438BF"/>
    <w:rsid w:val="00044BC5"/>
    <w:rsid w:val="000450A1"/>
    <w:rsid w:val="00046B63"/>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61C44"/>
    <w:rsid w:val="00064453"/>
    <w:rsid w:val="000654A5"/>
    <w:rsid w:val="00065C9F"/>
    <w:rsid w:val="00065CB9"/>
    <w:rsid w:val="000668F6"/>
    <w:rsid w:val="00067943"/>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97FD9"/>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82"/>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D26"/>
    <w:rsid w:val="00101E2E"/>
    <w:rsid w:val="00102740"/>
    <w:rsid w:val="00103058"/>
    <w:rsid w:val="00103CFB"/>
    <w:rsid w:val="00103F62"/>
    <w:rsid w:val="001040B7"/>
    <w:rsid w:val="001056A3"/>
    <w:rsid w:val="001058B0"/>
    <w:rsid w:val="00105905"/>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2CE"/>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96B"/>
    <w:rsid w:val="00202EAA"/>
    <w:rsid w:val="00206AC5"/>
    <w:rsid w:val="00206FCD"/>
    <w:rsid w:val="0020793A"/>
    <w:rsid w:val="00207ACE"/>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5A75"/>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5B04"/>
    <w:rsid w:val="003263A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783"/>
    <w:rsid w:val="00340F9B"/>
    <w:rsid w:val="00342410"/>
    <w:rsid w:val="003427C3"/>
    <w:rsid w:val="00342DD7"/>
    <w:rsid w:val="00343C1E"/>
    <w:rsid w:val="00344280"/>
    <w:rsid w:val="0034539D"/>
    <w:rsid w:val="003457AD"/>
    <w:rsid w:val="0034619E"/>
    <w:rsid w:val="00347FE1"/>
    <w:rsid w:val="00350FA3"/>
    <w:rsid w:val="00352128"/>
    <w:rsid w:val="00352365"/>
    <w:rsid w:val="003524B4"/>
    <w:rsid w:val="003530A0"/>
    <w:rsid w:val="00353472"/>
    <w:rsid w:val="0035450D"/>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5B5"/>
    <w:rsid w:val="004759D3"/>
    <w:rsid w:val="00475E0E"/>
    <w:rsid w:val="00475E6C"/>
    <w:rsid w:val="00476459"/>
    <w:rsid w:val="00480222"/>
    <w:rsid w:val="00480A4F"/>
    <w:rsid w:val="00481042"/>
    <w:rsid w:val="00482F84"/>
    <w:rsid w:val="00483468"/>
    <w:rsid w:val="00483EB1"/>
    <w:rsid w:val="004842BC"/>
    <w:rsid w:val="00485B07"/>
    <w:rsid w:val="004875C7"/>
    <w:rsid w:val="00487FD5"/>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D7202"/>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673C"/>
    <w:rsid w:val="005F6BFA"/>
    <w:rsid w:val="00601EAB"/>
    <w:rsid w:val="006026C0"/>
    <w:rsid w:val="00604122"/>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1A27"/>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E30"/>
    <w:rsid w:val="0067037A"/>
    <w:rsid w:val="00670CDD"/>
    <w:rsid w:val="00670E40"/>
    <w:rsid w:val="00672C9F"/>
    <w:rsid w:val="00674044"/>
    <w:rsid w:val="0067559A"/>
    <w:rsid w:val="00675B22"/>
    <w:rsid w:val="00675F27"/>
    <w:rsid w:val="00676B9D"/>
    <w:rsid w:val="00682522"/>
    <w:rsid w:val="00682AE0"/>
    <w:rsid w:val="0068366B"/>
    <w:rsid w:val="00685277"/>
    <w:rsid w:val="00687423"/>
    <w:rsid w:val="00690D9C"/>
    <w:rsid w:val="00691328"/>
    <w:rsid w:val="006922F9"/>
    <w:rsid w:val="006933CF"/>
    <w:rsid w:val="006943A7"/>
    <w:rsid w:val="00694558"/>
    <w:rsid w:val="00694D81"/>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1306"/>
    <w:rsid w:val="006C25CA"/>
    <w:rsid w:val="006C35F5"/>
    <w:rsid w:val="006C3F82"/>
    <w:rsid w:val="006C445B"/>
    <w:rsid w:val="006C4A95"/>
    <w:rsid w:val="006C51EF"/>
    <w:rsid w:val="006C5BEB"/>
    <w:rsid w:val="006C7750"/>
    <w:rsid w:val="006D0339"/>
    <w:rsid w:val="006D07BB"/>
    <w:rsid w:val="006D0EFE"/>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7B86"/>
    <w:rsid w:val="006F7F53"/>
    <w:rsid w:val="00700079"/>
    <w:rsid w:val="007005F5"/>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4EA9"/>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5BB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595"/>
    <w:rsid w:val="007E1CAB"/>
    <w:rsid w:val="007E4B6E"/>
    <w:rsid w:val="007E4D72"/>
    <w:rsid w:val="007E668E"/>
    <w:rsid w:val="007E6D5D"/>
    <w:rsid w:val="007F0753"/>
    <w:rsid w:val="007F0A0A"/>
    <w:rsid w:val="007F1E36"/>
    <w:rsid w:val="007F37BF"/>
    <w:rsid w:val="007F3C82"/>
    <w:rsid w:val="007F3FCB"/>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2F30"/>
    <w:rsid w:val="00823008"/>
    <w:rsid w:val="008235B5"/>
    <w:rsid w:val="008247DD"/>
    <w:rsid w:val="008255D7"/>
    <w:rsid w:val="00825688"/>
    <w:rsid w:val="00825876"/>
    <w:rsid w:val="00826600"/>
    <w:rsid w:val="0083049D"/>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56372"/>
    <w:rsid w:val="00860C1D"/>
    <w:rsid w:val="00860C85"/>
    <w:rsid w:val="00860F05"/>
    <w:rsid w:val="0086168B"/>
    <w:rsid w:val="00861E3B"/>
    <w:rsid w:val="00861E52"/>
    <w:rsid w:val="00865416"/>
    <w:rsid w:val="008662E7"/>
    <w:rsid w:val="008662F4"/>
    <w:rsid w:val="00866AF8"/>
    <w:rsid w:val="00870F10"/>
    <w:rsid w:val="00871AEE"/>
    <w:rsid w:val="00872D2F"/>
    <w:rsid w:val="0087359F"/>
    <w:rsid w:val="00873E62"/>
    <w:rsid w:val="00874CAD"/>
    <w:rsid w:val="0087504C"/>
    <w:rsid w:val="008759F4"/>
    <w:rsid w:val="00876B11"/>
    <w:rsid w:val="008773B6"/>
    <w:rsid w:val="00877D2E"/>
    <w:rsid w:val="00880E77"/>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13A0"/>
    <w:rsid w:val="008C24CB"/>
    <w:rsid w:val="008C2A5B"/>
    <w:rsid w:val="008C3D59"/>
    <w:rsid w:val="008C408B"/>
    <w:rsid w:val="008C5E84"/>
    <w:rsid w:val="008C7591"/>
    <w:rsid w:val="008C782A"/>
    <w:rsid w:val="008D08AA"/>
    <w:rsid w:val="008D2DB0"/>
    <w:rsid w:val="008D3DA4"/>
    <w:rsid w:val="008D462D"/>
    <w:rsid w:val="008D5ACB"/>
    <w:rsid w:val="008D64DE"/>
    <w:rsid w:val="008D6A7A"/>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3E3A"/>
    <w:rsid w:val="00935439"/>
    <w:rsid w:val="0093614C"/>
    <w:rsid w:val="00936BB1"/>
    <w:rsid w:val="00937708"/>
    <w:rsid w:val="009409A8"/>
    <w:rsid w:val="009419A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1868"/>
    <w:rsid w:val="00AB218E"/>
    <w:rsid w:val="00AB2C0B"/>
    <w:rsid w:val="00AB37F3"/>
    <w:rsid w:val="00AB3E7B"/>
    <w:rsid w:val="00AB4E6B"/>
    <w:rsid w:val="00AB58AC"/>
    <w:rsid w:val="00AB6348"/>
    <w:rsid w:val="00AB65E4"/>
    <w:rsid w:val="00AB6B4F"/>
    <w:rsid w:val="00AB7C1F"/>
    <w:rsid w:val="00AB7F86"/>
    <w:rsid w:val="00AC0BF5"/>
    <w:rsid w:val="00AC29F6"/>
    <w:rsid w:val="00AC2BE9"/>
    <w:rsid w:val="00AC373C"/>
    <w:rsid w:val="00AC3B0B"/>
    <w:rsid w:val="00AC3FDE"/>
    <w:rsid w:val="00AC46FB"/>
    <w:rsid w:val="00AC5CF8"/>
    <w:rsid w:val="00AC7571"/>
    <w:rsid w:val="00AC7C7F"/>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1576"/>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5069"/>
    <w:rsid w:val="00C06951"/>
    <w:rsid w:val="00C0781C"/>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2567"/>
    <w:rsid w:val="00D63EBB"/>
    <w:rsid w:val="00D63EF8"/>
    <w:rsid w:val="00D64406"/>
    <w:rsid w:val="00D65C81"/>
    <w:rsid w:val="00D67750"/>
    <w:rsid w:val="00D67787"/>
    <w:rsid w:val="00D703FC"/>
    <w:rsid w:val="00D71176"/>
    <w:rsid w:val="00D71B68"/>
    <w:rsid w:val="00D72641"/>
    <w:rsid w:val="00D72A67"/>
    <w:rsid w:val="00D736DF"/>
    <w:rsid w:val="00D74D45"/>
    <w:rsid w:val="00D7541F"/>
    <w:rsid w:val="00D75B89"/>
    <w:rsid w:val="00D765C6"/>
    <w:rsid w:val="00D76E68"/>
    <w:rsid w:val="00D8196B"/>
    <w:rsid w:val="00D825E3"/>
    <w:rsid w:val="00D82B16"/>
    <w:rsid w:val="00D84FB0"/>
    <w:rsid w:val="00D86BB7"/>
    <w:rsid w:val="00D87629"/>
    <w:rsid w:val="00D8798D"/>
    <w:rsid w:val="00D87B72"/>
    <w:rsid w:val="00D87DE5"/>
    <w:rsid w:val="00D90C16"/>
    <w:rsid w:val="00D90E1F"/>
    <w:rsid w:val="00D931D1"/>
    <w:rsid w:val="00D93549"/>
    <w:rsid w:val="00D96BB1"/>
    <w:rsid w:val="00D96C11"/>
    <w:rsid w:val="00DA0B82"/>
    <w:rsid w:val="00DA2072"/>
    <w:rsid w:val="00DA21C1"/>
    <w:rsid w:val="00DA3F24"/>
    <w:rsid w:val="00DA6376"/>
    <w:rsid w:val="00DA797F"/>
    <w:rsid w:val="00DA7E13"/>
    <w:rsid w:val="00DB0733"/>
    <w:rsid w:val="00DB4196"/>
    <w:rsid w:val="00DB482B"/>
    <w:rsid w:val="00DB48BB"/>
    <w:rsid w:val="00DB4F3D"/>
    <w:rsid w:val="00DB5577"/>
    <w:rsid w:val="00DB5C00"/>
    <w:rsid w:val="00DB5C8A"/>
    <w:rsid w:val="00DB74B8"/>
    <w:rsid w:val="00DB7C5F"/>
    <w:rsid w:val="00DC005E"/>
    <w:rsid w:val="00DC0615"/>
    <w:rsid w:val="00DC062C"/>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DB7"/>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730C"/>
    <w:rsid w:val="00E60B97"/>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DC2"/>
    <w:rsid w:val="00EA2E4F"/>
    <w:rsid w:val="00EA3D78"/>
    <w:rsid w:val="00EA3E60"/>
    <w:rsid w:val="00EA4731"/>
    <w:rsid w:val="00EA56A1"/>
    <w:rsid w:val="00EA7755"/>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0C5E"/>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8B7"/>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B7E19"/>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8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06645677">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50089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9071</TotalTime>
  <Pages>1</Pages>
  <Words>2398</Words>
  <Characters>13671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2060</cp:revision>
  <cp:lastPrinted>2022-12-27T08:13:00Z</cp:lastPrinted>
  <dcterms:created xsi:type="dcterms:W3CDTF">2018-12-28T06:43:00Z</dcterms:created>
  <dcterms:modified xsi:type="dcterms:W3CDTF">2024-01-09T08:38:00Z</dcterms:modified>
</cp:coreProperties>
</file>